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38EF1" w14:textId="72F2083E" w:rsidR="00F550D6" w:rsidRDefault="00155516" w:rsidP="00E72E4D">
      <w:pPr>
        <w:jc w:val="both"/>
        <w:rPr>
          <w:rFonts w:ascii="Times New Roman" w:hAnsi="Times New Roman" w:cs="Times New Roman"/>
          <w:b/>
          <w:bCs/>
        </w:rPr>
      </w:pPr>
      <w:r w:rsidRPr="00155516">
        <w:rPr>
          <w:rFonts w:ascii="Times New Roman" w:hAnsi="Times New Roman" w:cs="Times New Roman"/>
          <w:b/>
          <w:bCs/>
        </w:rPr>
        <w:t>Lost in Translation: Historical Perspectives on Language and Student Mobility</w:t>
      </w:r>
      <w:r w:rsidR="004C3C3F">
        <w:rPr>
          <w:rFonts w:ascii="Times New Roman" w:hAnsi="Times New Roman" w:cs="Times New Roman"/>
          <w:b/>
          <w:bCs/>
        </w:rPr>
        <w:t xml:space="preserve"> from the Nineteenth to the Twenty-First Century</w:t>
      </w:r>
      <w:r w:rsidRPr="00155516">
        <w:rPr>
          <w:rFonts w:ascii="Times New Roman" w:hAnsi="Times New Roman" w:cs="Times New Roman"/>
          <w:b/>
          <w:bCs/>
        </w:rPr>
        <w:t xml:space="preserve"> </w:t>
      </w:r>
    </w:p>
    <w:p w14:paraId="4067986C" w14:textId="3A5D98D3" w:rsidR="00E72E4D" w:rsidRPr="003D28B2" w:rsidRDefault="00E72E4D" w:rsidP="00E72E4D">
      <w:pPr>
        <w:jc w:val="both"/>
        <w:rPr>
          <w:rFonts w:ascii="Times New Roman" w:hAnsi="Times New Roman" w:cs="Times New Roman"/>
        </w:rPr>
      </w:pPr>
      <w:r w:rsidRPr="003D28B2">
        <w:rPr>
          <w:rFonts w:ascii="Times New Roman" w:hAnsi="Times New Roman" w:cs="Times New Roman"/>
        </w:rPr>
        <w:t>Workshop – University of Geneva – June 16, 2026</w:t>
      </w:r>
    </w:p>
    <w:p w14:paraId="3FEAE009" w14:textId="77777777" w:rsidR="00E72E4D" w:rsidRDefault="00E72E4D" w:rsidP="00E72E4D">
      <w:pPr>
        <w:jc w:val="both"/>
        <w:rPr>
          <w:rFonts w:ascii="Times New Roman" w:hAnsi="Times New Roman" w:cs="Times New Roman"/>
          <w:b/>
          <w:bCs/>
        </w:rPr>
      </w:pPr>
    </w:p>
    <w:p w14:paraId="47885EB6" w14:textId="61410E44" w:rsidR="004C3C3F" w:rsidRDefault="00155516" w:rsidP="00E72E4D">
      <w:pPr>
        <w:jc w:val="both"/>
        <w:rPr>
          <w:rFonts w:ascii="Times New Roman" w:hAnsi="Times New Roman" w:cs="Times New Roman"/>
        </w:rPr>
      </w:pPr>
      <w:r>
        <w:rPr>
          <w:rFonts w:ascii="Times New Roman" w:hAnsi="Times New Roman" w:cs="Times New Roman"/>
        </w:rPr>
        <w:t xml:space="preserve">Since the nineteenth century, international student mobility has witnessed an unprecedented increase. This </w:t>
      </w:r>
      <w:r w:rsidR="009C1CAD">
        <w:rPr>
          <w:rFonts w:ascii="Times New Roman" w:hAnsi="Times New Roman" w:cs="Times New Roman"/>
        </w:rPr>
        <w:t>was</w:t>
      </w:r>
      <w:r w:rsidR="009B4F5C">
        <w:rPr>
          <w:rFonts w:ascii="Times New Roman" w:hAnsi="Times New Roman" w:cs="Times New Roman"/>
        </w:rPr>
        <w:t xml:space="preserve"> in large part due to increased global competition after the Second World War but </w:t>
      </w:r>
      <w:r w:rsidR="00B5115F">
        <w:rPr>
          <w:rFonts w:ascii="Times New Roman" w:hAnsi="Times New Roman" w:cs="Times New Roman"/>
        </w:rPr>
        <w:t xml:space="preserve">was </w:t>
      </w:r>
      <w:r w:rsidR="009B4F5C">
        <w:rPr>
          <w:rFonts w:ascii="Times New Roman" w:hAnsi="Times New Roman" w:cs="Times New Roman"/>
        </w:rPr>
        <w:t>also the resu</w:t>
      </w:r>
      <w:r w:rsidR="009C1CAD">
        <w:rPr>
          <w:rFonts w:ascii="Times New Roman" w:hAnsi="Times New Roman" w:cs="Times New Roman"/>
        </w:rPr>
        <w:t xml:space="preserve">lt of the commodification of academic mobility during this period. </w:t>
      </w:r>
      <w:r w:rsidR="006F337D">
        <w:rPr>
          <w:rFonts w:ascii="Times New Roman" w:hAnsi="Times New Roman" w:cs="Times New Roman"/>
        </w:rPr>
        <w:t>In more recent years, s</w:t>
      </w:r>
      <w:r w:rsidR="00B5115F">
        <w:rPr>
          <w:rFonts w:ascii="Times New Roman" w:hAnsi="Times New Roman" w:cs="Times New Roman"/>
        </w:rPr>
        <w:t>t</w:t>
      </w:r>
      <w:r w:rsidR="009C1CAD">
        <w:rPr>
          <w:rFonts w:ascii="Times New Roman" w:hAnsi="Times New Roman" w:cs="Times New Roman"/>
        </w:rPr>
        <w:t xml:space="preserve">udent mobility flows have gradually </w:t>
      </w:r>
      <w:r w:rsidR="00B5115F">
        <w:rPr>
          <w:rFonts w:ascii="Times New Roman" w:hAnsi="Times New Roman" w:cs="Times New Roman"/>
        </w:rPr>
        <w:t>expanded to integrate</w:t>
      </w:r>
      <w:r w:rsidR="009C1CAD">
        <w:rPr>
          <w:rFonts w:ascii="Times New Roman" w:hAnsi="Times New Roman" w:cs="Times New Roman"/>
        </w:rPr>
        <w:t xml:space="preserve"> parts of the world that were once far-removed from each other</w:t>
      </w:r>
      <w:r w:rsidR="006F337D">
        <w:rPr>
          <w:rFonts w:ascii="Times New Roman" w:hAnsi="Times New Roman" w:cs="Times New Roman"/>
        </w:rPr>
        <w:t>, and there is now a much wider range of host countries.</w:t>
      </w:r>
      <w:r w:rsidR="009C1CAD">
        <w:rPr>
          <w:rFonts w:ascii="Times New Roman" w:hAnsi="Times New Roman" w:cs="Times New Roman"/>
        </w:rPr>
        <w:t xml:space="preserve"> According to UNESCO, 6.9 million students studied abroad in 2022, with </w:t>
      </w:r>
      <w:r w:rsidR="006F337D">
        <w:rPr>
          <w:rFonts w:ascii="Times New Roman" w:hAnsi="Times New Roman" w:cs="Times New Roman"/>
        </w:rPr>
        <w:t>young people from every corner of the world participating</w:t>
      </w:r>
      <w:r w:rsidR="009C1CAD">
        <w:rPr>
          <w:rFonts w:ascii="Times New Roman" w:hAnsi="Times New Roman" w:cs="Times New Roman"/>
        </w:rPr>
        <w:t xml:space="preserve">. In this context, the question of language acquisition is </w:t>
      </w:r>
      <w:r w:rsidR="006F337D">
        <w:rPr>
          <w:rFonts w:ascii="Times New Roman" w:hAnsi="Times New Roman" w:cs="Times New Roman"/>
        </w:rPr>
        <w:t xml:space="preserve">particularly relevant </w:t>
      </w:r>
      <w:r w:rsidR="009C1CAD">
        <w:rPr>
          <w:rFonts w:ascii="Times New Roman" w:hAnsi="Times New Roman" w:cs="Times New Roman"/>
        </w:rPr>
        <w:t xml:space="preserve">since it shapes how a student experiences mobility and </w:t>
      </w:r>
      <w:r w:rsidR="006F337D">
        <w:rPr>
          <w:rFonts w:ascii="Times New Roman" w:hAnsi="Times New Roman" w:cs="Times New Roman"/>
        </w:rPr>
        <w:t xml:space="preserve">how they </w:t>
      </w:r>
      <w:r w:rsidR="009C1CAD">
        <w:rPr>
          <w:rFonts w:ascii="Times New Roman" w:hAnsi="Times New Roman" w:cs="Times New Roman"/>
        </w:rPr>
        <w:t>access knowledge. What language</w:t>
      </w:r>
      <w:r w:rsidR="006F337D">
        <w:rPr>
          <w:rFonts w:ascii="Times New Roman" w:hAnsi="Times New Roman" w:cs="Times New Roman"/>
        </w:rPr>
        <w:t>(s)</w:t>
      </w:r>
      <w:r w:rsidR="009C1CAD">
        <w:rPr>
          <w:rFonts w:ascii="Times New Roman" w:hAnsi="Times New Roman" w:cs="Times New Roman"/>
        </w:rPr>
        <w:t xml:space="preserve"> do students use to learn while they are abroad? </w:t>
      </w:r>
      <w:r w:rsidR="004C3C3F">
        <w:rPr>
          <w:rFonts w:ascii="Times New Roman" w:hAnsi="Times New Roman" w:cs="Times New Roman"/>
        </w:rPr>
        <w:t xml:space="preserve">How do they learn these languages? </w:t>
      </w:r>
      <w:r w:rsidR="009C1CAD">
        <w:rPr>
          <w:rFonts w:ascii="Times New Roman" w:hAnsi="Times New Roman" w:cs="Times New Roman"/>
        </w:rPr>
        <w:t xml:space="preserve">Who are their instructors? </w:t>
      </w:r>
      <w:r w:rsidR="004C3C3F">
        <w:rPr>
          <w:rFonts w:ascii="Times New Roman" w:hAnsi="Times New Roman" w:cs="Times New Roman"/>
        </w:rPr>
        <w:t xml:space="preserve">Aside from purely practical considerations, the </w:t>
      </w:r>
      <w:r w:rsidR="003405DE">
        <w:rPr>
          <w:rFonts w:ascii="Times New Roman" w:hAnsi="Times New Roman" w:cs="Times New Roman"/>
        </w:rPr>
        <w:t xml:space="preserve">question of language </w:t>
      </w:r>
      <w:r w:rsidR="004C3C3F" w:rsidRPr="003405DE">
        <w:rPr>
          <w:rFonts w:ascii="Times New Roman" w:hAnsi="Times New Roman" w:cs="Times New Roman"/>
        </w:rPr>
        <w:t xml:space="preserve">also </w:t>
      </w:r>
      <w:r w:rsidR="003405DE">
        <w:rPr>
          <w:rFonts w:ascii="Times New Roman" w:hAnsi="Times New Roman" w:cs="Times New Roman"/>
        </w:rPr>
        <w:t>touches on</w:t>
      </w:r>
      <w:r w:rsidR="004C3C3F" w:rsidRPr="003405DE">
        <w:rPr>
          <w:rFonts w:ascii="Times New Roman" w:hAnsi="Times New Roman" w:cs="Times New Roman"/>
        </w:rPr>
        <w:t xml:space="preserve"> much larger</w:t>
      </w:r>
      <w:r w:rsidR="004C3C3F">
        <w:rPr>
          <w:rFonts w:ascii="Times New Roman" w:hAnsi="Times New Roman" w:cs="Times New Roman"/>
        </w:rPr>
        <w:t xml:space="preserve"> issues outside of education</w:t>
      </w:r>
      <w:r w:rsidR="003405DE">
        <w:rPr>
          <w:rFonts w:ascii="Times New Roman" w:hAnsi="Times New Roman" w:cs="Times New Roman"/>
        </w:rPr>
        <w:t xml:space="preserve">—such as </w:t>
      </w:r>
      <w:r w:rsidR="004C3C3F">
        <w:rPr>
          <w:rFonts w:ascii="Times New Roman" w:hAnsi="Times New Roman" w:cs="Times New Roman"/>
        </w:rPr>
        <w:t>political, social, or diplomatic considerations</w:t>
      </w:r>
      <w:r w:rsidR="003405DE">
        <w:rPr>
          <w:rFonts w:ascii="Times New Roman" w:hAnsi="Times New Roman" w:cs="Times New Roman"/>
        </w:rPr>
        <w:t>—</w:t>
      </w:r>
      <w:r w:rsidR="004C3C3F">
        <w:rPr>
          <w:rFonts w:ascii="Times New Roman" w:hAnsi="Times New Roman" w:cs="Times New Roman"/>
        </w:rPr>
        <w:t xml:space="preserve"> and involves a wide array of actors (instructors, university administrators, public authorities, private organizations, etc.)</w:t>
      </w:r>
    </w:p>
    <w:p w14:paraId="49694305" w14:textId="24BED82A" w:rsidR="004C3C3F" w:rsidRPr="003405DE" w:rsidRDefault="003405DE" w:rsidP="00E72E4D">
      <w:pPr>
        <w:jc w:val="both"/>
        <w:rPr>
          <w:rFonts w:ascii="Times New Roman" w:hAnsi="Times New Roman" w:cs="Times New Roman"/>
          <w:b/>
          <w:bCs/>
        </w:rPr>
      </w:pPr>
      <w:r>
        <w:rPr>
          <w:rFonts w:ascii="Times New Roman" w:hAnsi="Times New Roman" w:cs="Times New Roman"/>
        </w:rPr>
        <w:t>T</w:t>
      </w:r>
      <w:r w:rsidR="004C3C3F">
        <w:rPr>
          <w:rFonts w:ascii="Times New Roman" w:hAnsi="Times New Roman" w:cs="Times New Roman"/>
        </w:rPr>
        <w:t xml:space="preserve">his </w:t>
      </w:r>
      <w:r w:rsidR="005B6E82">
        <w:rPr>
          <w:rFonts w:ascii="Times New Roman" w:hAnsi="Times New Roman" w:cs="Times New Roman"/>
        </w:rPr>
        <w:t>workshop</w:t>
      </w:r>
      <w:r w:rsidR="004C3C3F">
        <w:rPr>
          <w:rFonts w:ascii="Times New Roman" w:hAnsi="Times New Roman" w:cs="Times New Roman"/>
        </w:rPr>
        <w:t xml:space="preserve"> </w:t>
      </w:r>
      <w:r>
        <w:rPr>
          <w:rFonts w:ascii="Times New Roman" w:hAnsi="Times New Roman" w:cs="Times New Roman"/>
        </w:rPr>
        <w:t>therefore seeks to explore</w:t>
      </w:r>
      <w:r w:rsidR="004C3C3F">
        <w:rPr>
          <w:rFonts w:ascii="Times New Roman" w:hAnsi="Times New Roman" w:cs="Times New Roman"/>
        </w:rPr>
        <w:t xml:space="preserve"> </w:t>
      </w:r>
      <w:r w:rsidR="004C3C3F" w:rsidRPr="003405DE">
        <w:rPr>
          <w:rFonts w:ascii="Times New Roman" w:hAnsi="Times New Roman" w:cs="Times New Roman"/>
          <w:b/>
          <w:bCs/>
        </w:rPr>
        <w:t>the relationship between language and student mobility</w:t>
      </w:r>
      <w:r w:rsidRPr="003405DE">
        <w:rPr>
          <w:rFonts w:ascii="Times New Roman" w:hAnsi="Times New Roman" w:cs="Times New Roman"/>
        </w:rPr>
        <w:t xml:space="preserve"> </w:t>
      </w:r>
      <w:r w:rsidRPr="003405DE">
        <w:rPr>
          <w:rFonts w:ascii="Times New Roman" w:hAnsi="Times New Roman" w:cs="Times New Roman"/>
          <w:b/>
          <w:bCs/>
        </w:rPr>
        <w:t>from the nineteenth century to the present</w:t>
      </w:r>
      <w:r>
        <w:rPr>
          <w:rFonts w:ascii="Times New Roman" w:hAnsi="Times New Roman" w:cs="Times New Roman"/>
          <w:b/>
          <w:bCs/>
        </w:rPr>
        <w:t xml:space="preserve">, </w:t>
      </w:r>
      <w:r>
        <w:rPr>
          <w:rFonts w:ascii="Times New Roman" w:hAnsi="Times New Roman" w:cs="Times New Roman"/>
        </w:rPr>
        <w:t xml:space="preserve">a historical perspective that few scholars have adopted. </w:t>
      </w:r>
    </w:p>
    <w:p w14:paraId="48C70746" w14:textId="1E9B73F6" w:rsidR="004C3C3F" w:rsidRDefault="007338DD" w:rsidP="00E72E4D">
      <w:pPr>
        <w:jc w:val="both"/>
        <w:rPr>
          <w:rFonts w:ascii="Times New Roman" w:eastAsia="Times New Roman" w:hAnsi="Times New Roman" w:cs="Times New Roman"/>
          <w:color w:val="000000" w:themeColor="text1"/>
          <w:lang w:eastAsia="fr-FR"/>
        </w:rPr>
      </w:pPr>
      <w:r w:rsidRPr="003405DE">
        <w:rPr>
          <w:rFonts w:ascii="Times New Roman" w:hAnsi="Times New Roman" w:cs="Times New Roman"/>
        </w:rPr>
        <w:t xml:space="preserve">For the last several decades, historians have studied the concept of student mobility mainly </w:t>
      </w:r>
      <w:r w:rsidR="003405DE" w:rsidRPr="003405DE">
        <w:rPr>
          <w:rFonts w:ascii="Times New Roman" w:hAnsi="Times New Roman" w:cs="Times New Roman"/>
        </w:rPr>
        <w:t xml:space="preserve">through the lens </w:t>
      </w:r>
      <w:r w:rsidRPr="003405DE">
        <w:rPr>
          <w:rFonts w:ascii="Times New Roman" w:hAnsi="Times New Roman" w:cs="Times New Roman"/>
        </w:rPr>
        <w:t xml:space="preserve">of social history </w:t>
      </w:r>
      <w:r w:rsidR="003405DE" w:rsidRPr="003405DE">
        <w:rPr>
          <w:rFonts w:ascii="Times New Roman" w:hAnsi="Times New Roman" w:cs="Times New Roman"/>
        </w:rPr>
        <w:t>focusing</w:t>
      </w:r>
      <w:r w:rsidR="003B6539" w:rsidRPr="003405DE">
        <w:rPr>
          <w:rFonts w:ascii="Times New Roman" w:hAnsi="Times New Roman" w:cs="Times New Roman"/>
        </w:rPr>
        <w:t xml:space="preserve"> </w:t>
      </w:r>
      <w:r w:rsidRPr="003405DE">
        <w:rPr>
          <w:rFonts w:ascii="Times New Roman" w:hAnsi="Times New Roman" w:cs="Times New Roman"/>
        </w:rPr>
        <w:t>specific migratory flows. This</w:t>
      </w:r>
      <w:r w:rsidR="003B6539" w:rsidRPr="003405DE">
        <w:rPr>
          <w:rFonts w:ascii="Times New Roman" w:hAnsi="Times New Roman" w:cs="Times New Roman"/>
        </w:rPr>
        <w:t xml:space="preserve"> scholarship</w:t>
      </w:r>
      <w:r w:rsidRPr="003405DE">
        <w:rPr>
          <w:rFonts w:ascii="Times New Roman" w:hAnsi="Times New Roman" w:cs="Times New Roman"/>
        </w:rPr>
        <w:t xml:space="preserve"> has included studies of different social groups and the conditions that shape their mobility, </w:t>
      </w:r>
      <w:r w:rsidR="003B6539" w:rsidRPr="003405DE">
        <w:rPr>
          <w:rFonts w:ascii="Times New Roman" w:eastAsia="Times New Roman" w:hAnsi="Times New Roman" w:cs="Times New Roman"/>
          <w:color w:val="000000" w:themeColor="text1"/>
          <w:lang w:eastAsia="fr-FR"/>
        </w:rPr>
        <w:t>(</w:t>
      </w:r>
      <w:r w:rsidR="001E3C2A" w:rsidRPr="003405DE">
        <w:rPr>
          <w:rFonts w:ascii="Times New Roman" w:eastAsia="Times New Roman" w:hAnsi="Times New Roman" w:cs="Times New Roman"/>
          <w:color w:val="000000" w:themeColor="text1"/>
          <w:lang w:eastAsia="fr-FR"/>
        </w:rPr>
        <w:t>Manitakis</w:t>
      </w:r>
      <w:r w:rsidR="003B6539" w:rsidRPr="003405DE">
        <w:rPr>
          <w:rFonts w:ascii="Times New Roman" w:eastAsia="Times New Roman" w:hAnsi="Times New Roman" w:cs="Times New Roman"/>
          <w:color w:val="000000" w:themeColor="text1"/>
          <w:lang w:eastAsia="fr-FR"/>
        </w:rPr>
        <w:t> 2000</w:t>
      </w:r>
      <w:r w:rsidR="001E3C2A" w:rsidRPr="003405DE">
        <w:rPr>
          <w:rFonts w:ascii="Times New Roman" w:eastAsia="Times New Roman" w:hAnsi="Times New Roman" w:cs="Times New Roman"/>
          <w:color w:val="000000" w:themeColor="text1"/>
          <w:lang w:eastAsia="fr-FR"/>
        </w:rPr>
        <w:t xml:space="preserve">, Karady 2002, </w:t>
      </w:r>
      <w:r w:rsidR="001E3C2A" w:rsidRPr="00197B1A">
        <w:rPr>
          <w:rFonts w:ascii="Times New Roman" w:eastAsia="Times New Roman" w:hAnsi="Times New Roman" w:cs="Times New Roman"/>
          <w:color w:val="000000" w:themeColor="text1"/>
          <w:lang w:eastAsia="fr-FR"/>
        </w:rPr>
        <w:t xml:space="preserve">Moulinier </w:t>
      </w:r>
      <w:r w:rsidR="003B6539" w:rsidRPr="00197B1A">
        <w:rPr>
          <w:rFonts w:ascii="Times New Roman" w:eastAsia="Times New Roman" w:hAnsi="Times New Roman" w:cs="Times New Roman"/>
          <w:color w:val="000000" w:themeColor="text1"/>
          <w:lang w:eastAsia="fr-FR"/>
        </w:rPr>
        <w:t xml:space="preserve">2011), </w:t>
      </w:r>
      <w:r w:rsidR="001E3C2A" w:rsidRPr="00197B1A">
        <w:rPr>
          <w:rFonts w:ascii="Times New Roman" w:eastAsia="Times New Roman" w:hAnsi="Times New Roman" w:cs="Times New Roman"/>
          <w:color w:val="000000" w:themeColor="text1"/>
          <w:lang w:eastAsia="fr-FR"/>
        </w:rPr>
        <w:t xml:space="preserve">employing perspectives </w:t>
      </w:r>
      <w:r w:rsidR="003B6539" w:rsidRPr="00197B1A">
        <w:rPr>
          <w:rFonts w:ascii="Times New Roman" w:hAnsi="Times New Roman" w:cs="Times New Roman"/>
        </w:rPr>
        <w:t xml:space="preserve">such as gendered analysis </w:t>
      </w:r>
      <w:r w:rsidR="003B6539" w:rsidRPr="00197B1A">
        <w:rPr>
          <w:rFonts w:ascii="Times New Roman" w:eastAsia="Times New Roman" w:hAnsi="Times New Roman" w:cs="Times New Roman"/>
          <w:color w:val="000000" w:themeColor="text1"/>
          <w:lang w:eastAsia="fr-FR"/>
        </w:rPr>
        <w:t>(</w:t>
      </w:r>
      <w:r w:rsidR="001E3C2A" w:rsidRPr="00197B1A">
        <w:rPr>
          <w:rFonts w:ascii="Times New Roman" w:eastAsia="Times New Roman" w:hAnsi="Times New Roman" w:cs="Times New Roman"/>
          <w:color w:val="000000" w:themeColor="text1"/>
          <w:lang w:eastAsia="fr-FR"/>
        </w:rPr>
        <w:t xml:space="preserve">Cattan 2004, Tikhonov-Sigrist, Durand </w:t>
      </w:r>
      <w:r w:rsidR="003B6539" w:rsidRPr="00197B1A">
        <w:rPr>
          <w:rFonts w:ascii="Times New Roman" w:eastAsia="Times New Roman" w:hAnsi="Times New Roman" w:cs="Times New Roman"/>
          <w:color w:val="000000" w:themeColor="text1"/>
          <w:lang w:eastAsia="fr-FR"/>
        </w:rPr>
        <w:t>2020).</w:t>
      </w:r>
      <w:r w:rsidR="001E3C2A" w:rsidRPr="00197B1A">
        <w:rPr>
          <w:rFonts w:ascii="Times New Roman" w:eastAsia="Times New Roman" w:hAnsi="Times New Roman" w:cs="Times New Roman"/>
          <w:color w:val="000000" w:themeColor="text1"/>
          <w:lang w:eastAsia="fr-FR"/>
        </w:rPr>
        <w:t xml:space="preserve"> </w:t>
      </w:r>
      <w:r w:rsidR="003B6539" w:rsidRPr="00197B1A">
        <w:rPr>
          <w:rFonts w:ascii="Times New Roman" w:hAnsi="Times New Roman" w:cs="Times New Roman"/>
        </w:rPr>
        <w:t>Other</w:t>
      </w:r>
      <w:r w:rsidR="001E3C2A" w:rsidRPr="00197B1A">
        <w:rPr>
          <w:rFonts w:ascii="Times New Roman" w:hAnsi="Times New Roman" w:cs="Times New Roman"/>
        </w:rPr>
        <w:t>s</w:t>
      </w:r>
      <w:r w:rsidR="003B6539" w:rsidRPr="00197B1A">
        <w:rPr>
          <w:rFonts w:ascii="Times New Roman" w:hAnsi="Times New Roman" w:cs="Times New Roman"/>
        </w:rPr>
        <w:t xml:space="preserve"> highlight the </w:t>
      </w:r>
      <w:r w:rsidRPr="00197B1A">
        <w:rPr>
          <w:rFonts w:ascii="Times New Roman" w:hAnsi="Times New Roman" w:cs="Times New Roman"/>
        </w:rPr>
        <w:t>lived experience of students in their host country</w:t>
      </w:r>
      <w:r w:rsidR="001807A1" w:rsidRPr="00197B1A">
        <w:rPr>
          <w:rFonts w:ascii="Times New Roman" w:hAnsi="Times New Roman" w:cs="Times New Roman"/>
        </w:rPr>
        <w:t xml:space="preserve"> and </w:t>
      </w:r>
      <w:r w:rsidR="003B6539" w:rsidRPr="00197B1A">
        <w:rPr>
          <w:rFonts w:ascii="Times New Roman" w:hAnsi="Times New Roman" w:cs="Times New Roman"/>
        </w:rPr>
        <w:t>pos</w:t>
      </w:r>
      <w:r w:rsidR="001807A1" w:rsidRPr="00197B1A">
        <w:rPr>
          <w:rFonts w:ascii="Times New Roman" w:hAnsi="Times New Roman" w:cs="Times New Roman"/>
        </w:rPr>
        <w:t>e</w:t>
      </w:r>
      <w:r w:rsidRPr="00197B1A">
        <w:rPr>
          <w:rFonts w:ascii="Times New Roman" w:hAnsi="Times New Roman" w:cs="Times New Roman"/>
        </w:rPr>
        <w:t xml:space="preserve"> questions about integration and discrimination </w:t>
      </w:r>
      <w:r w:rsidR="003B6539" w:rsidRPr="00197B1A">
        <w:rPr>
          <w:rFonts w:ascii="Times New Roman" w:eastAsia="Times New Roman" w:hAnsi="Times New Roman" w:cs="Times New Roman"/>
          <w:color w:val="000000" w:themeColor="text1"/>
          <w:lang w:eastAsia="fr-FR"/>
        </w:rPr>
        <w:t>(</w:t>
      </w:r>
      <w:r w:rsidR="001E3C2A" w:rsidRPr="00197B1A">
        <w:rPr>
          <w:rFonts w:ascii="Times New Roman" w:eastAsia="Times New Roman" w:hAnsi="Times New Roman" w:cs="Times New Roman"/>
          <w:color w:val="000000" w:themeColor="text1"/>
          <w:lang w:eastAsia="fr-FR"/>
        </w:rPr>
        <w:t xml:space="preserve">Kévonian, Tronchet </w:t>
      </w:r>
      <w:r w:rsidR="003B6539" w:rsidRPr="00197B1A">
        <w:rPr>
          <w:rFonts w:ascii="Times New Roman" w:eastAsia="Times New Roman" w:hAnsi="Times New Roman" w:cs="Times New Roman"/>
          <w:color w:val="000000" w:themeColor="text1"/>
          <w:lang w:eastAsia="fr-FR"/>
        </w:rPr>
        <w:t xml:space="preserve">2013 </w:t>
      </w:r>
      <w:r w:rsidR="001E3C2A" w:rsidRPr="00197B1A">
        <w:rPr>
          <w:rFonts w:ascii="Times New Roman" w:eastAsia="Times New Roman" w:hAnsi="Times New Roman" w:cs="Times New Roman"/>
          <w:color w:val="000000" w:themeColor="text1"/>
          <w:lang w:eastAsia="fr-FR"/>
        </w:rPr>
        <w:t>and</w:t>
      </w:r>
      <w:r w:rsidR="003B6539" w:rsidRPr="00197B1A">
        <w:rPr>
          <w:rFonts w:ascii="Times New Roman" w:eastAsia="Times New Roman" w:hAnsi="Times New Roman" w:cs="Times New Roman"/>
          <w:color w:val="000000" w:themeColor="text1"/>
          <w:lang w:eastAsia="fr-FR"/>
        </w:rPr>
        <w:t xml:space="preserve"> 2022) </w:t>
      </w:r>
      <w:r w:rsidRPr="00197B1A">
        <w:rPr>
          <w:rFonts w:ascii="Times New Roman" w:hAnsi="Times New Roman" w:cs="Times New Roman"/>
        </w:rPr>
        <w:t xml:space="preserve">or the social and professional opportunities </w:t>
      </w:r>
      <w:r w:rsidR="003B6539" w:rsidRPr="00197B1A">
        <w:rPr>
          <w:rFonts w:ascii="Times New Roman" w:hAnsi="Times New Roman" w:cs="Times New Roman"/>
        </w:rPr>
        <w:t>that result from</w:t>
      </w:r>
      <w:r w:rsidRPr="00197B1A">
        <w:rPr>
          <w:rFonts w:ascii="Times New Roman" w:hAnsi="Times New Roman" w:cs="Times New Roman"/>
        </w:rPr>
        <w:t xml:space="preserve"> educational mobility. </w:t>
      </w:r>
      <w:r w:rsidR="003B6539" w:rsidRPr="00197B1A">
        <w:rPr>
          <w:rFonts w:ascii="Times New Roman" w:hAnsi="Times New Roman" w:cs="Times New Roman"/>
        </w:rPr>
        <w:t>At the same time,</w:t>
      </w:r>
      <w:r w:rsidR="001E3C2A" w:rsidRPr="00197B1A">
        <w:rPr>
          <w:rFonts w:ascii="Times New Roman" w:hAnsi="Times New Roman" w:cs="Times New Roman"/>
        </w:rPr>
        <w:t xml:space="preserve"> </w:t>
      </w:r>
      <w:r w:rsidR="008846A3" w:rsidRPr="00197B1A">
        <w:rPr>
          <w:rFonts w:ascii="Times New Roman" w:hAnsi="Times New Roman" w:cs="Times New Roman"/>
        </w:rPr>
        <w:t>this work</w:t>
      </w:r>
      <w:r w:rsidR="001E3C2A" w:rsidRPr="00197B1A">
        <w:rPr>
          <w:rFonts w:ascii="Times New Roman" w:hAnsi="Times New Roman" w:cs="Times New Roman"/>
        </w:rPr>
        <w:t xml:space="preserve"> draw</w:t>
      </w:r>
      <w:r w:rsidR="008846A3" w:rsidRPr="00197B1A">
        <w:rPr>
          <w:rFonts w:ascii="Times New Roman" w:hAnsi="Times New Roman" w:cs="Times New Roman"/>
        </w:rPr>
        <w:t>s</w:t>
      </w:r>
      <w:r w:rsidR="001E3C2A" w:rsidRPr="00197B1A">
        <w:rPr>
          <w:rFonts w:ascii="Times New Roman" w:hAnsi="Times New Roman" w:cs="Times New Roman"/>
        </w:rPr>
        <w:t xml:space="preserve"> attention to the political and diplomatic stakes associated with student mobility</w:t>
      </w:r>
      <w:r w:rsidR="00883EC2" w:rsidRPr="00197B1A">
        <w:rPr>
          <w:rFonts w:ascii="Times New Roman" w:hAnsi="Times New Roman" w:cs="Times New Roman"/>
        </w:rPr>
        <w:t xml:space="preserve">, </w:t>
      </w:r>
      <w:r w:rsidR="001E3C2A" w:rsidRPr="00197B1A">
        <w:rPr>
          <w:rFonts w:ascii="Times New Roman" w:hAnsi="Times New Roman" w:cs="Times New Roman"/>
        </w:rPr>
        <w:t>us</w:t>
      </w:r>
      <w:r w:rsidR="00883EC2" w:rsidRPr="00197B1A">
        <w:rPr>
          <w:rFonts w:ascii="Times New Roman" w:hAnsi="Times New Roman" w:cs="Times New Roman"/>
        </w:rPr>
        <w:t>ing, for example,</w:t>
      </w:r>
      <w:r w:rsidR="001E3C2A" w:rsidRPr="00197B1A">
        <w:rPr>
          <w:rFonts w:ascii="Times New Roman" w:hAnsi="Times New Roman" w:cs="Times New Roman"/>
        </w:rPr>
        <w:t xml:space="preserve"> the lens of transnational or transimperial cooperation and competition</w:t>
      </w:r>
      <w:r w:rsidR="001E3C2A" w:rsidRPr="00197B1A">
        <w:rPr>
          <w:rFonts w:ascii="Times New Roman" w:eastAsia="Times New Roman" w:hAnsi="Times New Roman" w:cs="Times New Roman"/>
          <w:color w:val="000000" w:themeColor="text1"/>
          <w:lang w:eastAsia="fr-FR"/>
        </w:rPr>
        <w:t xml:space="preserve"> (Katsakioris 2022, Matasci, Ruppen-Coutaz 2024), which </w:t>
      </w:r>
      <w:r w:rsidR="008846A3" w:rsidRPr="00197B1A">
        <w:rPr>
          <w:rFonts w:ascii="Times New Roman" w:eastAsia="Times New Roman" w:hAnsi="Times New Roman" w:cs="Times New Roman"/>
          <w:color w:val="000000" w:themeColor="text1"/>
          <w:lang w:eastAsia="fr-FR"/>
        </w:rPr>
        <w:t>can</w:t>
      </w:r>
      <w:r w:rsidR="00883EC2" w:rsidRPr="00197B1A">
        <w:rPr>
          <w:rFonts w:ascii="Times New Roman" w:eastAsia="Times New Roman" w:hAnsi="Times New Roman" w:cs="Times New Roman"/>
          <w:color w:val="000000" w:themeColor="text1"/>
          <w:lang w:eastAsia="fr-FR"/>
        </w:rPr>
        <w:t xml:space="preserve"> </w:t>
      </w:r>
      <w:r w:rsidR="001E3C2A" w:rsidRPr="00197B1A">
        <w:rPr>
          <w:rFonts w:ascii="Times New Roman" w:eastAsia="Times New Roman" w:hAnsi="Times New Roman" w:cs="Times New Roman"/>
          <w:color w:val="000000" w:themeColor="text1"/>
          <w:lang w:eastAsia="fr-FR"/>
        </w:rPr>
        <w:t xml:space="preserve">reveal </w:t>
      </w:r>
      <w:r w:rsidR="008846A3" w:rsidRPr="00197B1A">
        <w:rPr>
          <w:rFonts w:ascii="Times New Roman" w:eastAsia="Times New Roman" w:hAnsi="Times New Roman" w:cs="Times New Roman"/>
          <w:color w:val="000000" w:themeColor="text1"/>
          <w:lang w:eastAsia="fr-FR"/>
        </w:rPr>
        <w:t>key</w:t>
      </w:r>
      <w:r w:rsidR="001E3C2A" w:rsidRPr="00197B1A">
        <w:rPr>
          <w:rFonts w:ascii="Times New Roman" w:eastAsia="Times New Roman" w:hAnsi="Times New Roman" w:cs="Times New Roman"/>
          <w:color w:val="000000" w:themeColor="text1"/>
          <w:lang w:eastAsia="fr-FR"/>
        </w:rPr>
        <w:t xml:space="preserve"> </w:t>
      </w:r>
      <w:r w:rsidR="008846A3" w:rsidRPr="00197B1A">
        <w:rPr>
          <w:rFonts w:ascii="Times New Roman" w:eastAsia="Times New Roman" w:hAnsi="Times New Roman" w:cs="Times New Roman"/>
          <w:color w:val="000000" w:themeColor="text1"/>
          <w:lang w:eastAsia="fr-FR"/>
        </w:rPr>
        <w:t>features</w:t>
      </w:r>
      <w:r w:rsidR="001E3C2A" w:rsidRPr="00197B1A">
        <w:rPr>
          <w:rFonts w:ascii="Times New Roman" w:eastAsia="Times New Roman" w:hAnsi="Times New Roman" w:cs="Times New Roman"/>
          <w:color w:val="000000" w:themeColor="text1"/>
          <w:lang w:eastAsia="fr-FR"/>
        </w:rPr>
        <w:t xml:space="preserve"> of university and </w:t>
      </w:r>
      <w:r w:rsidR="00883EC2" w:rsidRPr="00197B1A">
        <w:rPr>
          <w:rFonts w:ascii="Times New Roman" w:eastAsia="Times New Roman" w:hAnsi="Times New Roman" w:cs="Times New Roman"/>
          <w:color w:val="000000" w:themeColor="text1"/>
          <w:lang w:eastAsia="fr-FR"/>
        </w:rPr>
        <w:t>cultural diplomacy (</w:t>
      </w:r>
      <w:r w:rsidR="00F25E66" w:rsidRPr="00197B1A">
        <w:rPr>
          <w:rFonts w:ascii="Times New Roman" w:hAnsi="Times New Roman" w:cs="Times New Roman"/>
          <w:color w:val="000000"/>
        </w:rPr>
        <w:t>Lerg, Adam, 2015, </w:t>
      </w:r>
      <w:r w:rsidR="00883EC2" w:rsidRPr="00197B1A">
        <w:rPr>
          <w:rFonts w:ascii="Times New Roman" w:eastAsia="Times New Roman" w:hAnsi="Times New Roman" w:cs="Times New Roman"/>
          <w:color w:val="000000" w:themeColor="text1"/>
          <w:lang w:eastAsia="fr-FR"/>
        </w:rPr>
        <w:t xml:space="preserve">Tronchet 2016, Suzarte 2023). Student politics also figure into this framework, such as </w:t>
      </w:r>
      <w:r w:rsidR="008846A3" w:rsidRPr="00197B1A">
        <w:rPr>
          <w:rFonts w:ascii="Times New Roman" w:eastAsia="Times New Roman" w:hAnsi="Times New Roman" w:cs="Times New Roman"/>
          <w:color w:val="000000" w:themeColor="text1"/>
          <w:lang w:eastAsia="fr-FR"/>
        </w:rPr>
        <w:t xml:space="preserve">the </w:t>
      </w:r>
      <w:r w:rsidR="00883EC2" w:rsidRPr="00197B1A">
        <w:rPr>
          <w:rFonts w:ascii="Times New Roman" w:eastAsia="Times New Roman" w:hAnsi="Times New Roman" w:cs="Times New Roman"/>
          <w:color w:val="000000" w:themeColor="text1"/>
          <w:lang w:eastAsia="fr-FR"/>
        </w:rPr>
        <w:t>mobility associated with transnational student organizing or activism (</w:t>
      </w:r>
      <w:r w:rsidR="000D53B8">
        <w:rPr>
          <w:rFonts w:ascii="Times New Roman" w:hAnsi="Times New Roman" w:cs="Times New Roman"/>
          <w:color w:val="000000"/>
        </w:rPr>
        <w:t>L</w:t>
      </w:r>
      <w:r w:rsidR="000D53B8" w:rsidRPr="00EF62B2">
        <w:rPr>
          <w:rFonts w:ascii="Times New Roman" w:hAnsi="Times New Roman" w:cs="Times New Roman"/>
          <w:color w:val="000000"/>
        </w:rPr>
        <w:t>aqua 2017</w:t>
      </w:r>
      <w:r w:rsidR="000D53B8">
        <w:rPr>
          <w:rFonts w:ascii="Times New Roman" w:hAnsi="Times New Roman" w:cs="Times New Roman"/>
          <w:color w:val="000000"/>
        </w:rPr>
        <w:t>, L</w:t>
      </w:r>
      <w:r w:rsidR="000D53B8" w:rsidRPr="00EF62B2">
        <w:rPr>
          <w:rFonts w:ascii="Times New Roman" w:hAnsi="Times New Roman" w:cs="Times New Roman"/>
          <w:color w:val="000000"/>
        </w:rPr>
        <w:t>öhr 2024</w:t>
      </w:r>
      <w:r w:rsidR="000D53B8">
        <w:rPr>
          <w:rFonts w:ascii="Times New Roman" w:hAnsi="Times New Roman" w:cs="Times New Roman"/>
          <w:color w:val="000000"/>
        </w:rPr>
        <w:t>,</w:t>
      </w:r>
      <w:r w:rsidR="000D53B8" w:rsidRPr="00EF62B2">
        <w:rPr>
          <w:rFonts w:ascii="Times New Roman" w:hAnsi="Times New Roman" w:cs="Times New Roman"/>
          <w:color w:val="000000"/>
        </w:rPr>
        <w:t xml:space="preserve"> </w:t>
      </w:r>
      <w:r w:rsidR="000D53B8">
        <w:rPr>
          <w:rFonts w:ascii="Times New Roman" w:hAnsi="Times New Roman" w:cs="Times New Roman"/>
          <w:color w:val="000000"/>
        </w:rPr>
        <w:t>G</w:t>
      </w:r>
      <w:r w:rsidR="000D53B8" w:rsidRPr="00EF62B2">
        <w:rPr>
          <w:rFonts w:ascii="Times New Roman" w:hAnsi="Times New Roman" w:cs="Times New Roman"/>
          <w:color w:val="000000"/>
        </w:rPr>
        <w:t xml:space="preserve">illabert, </w:t>
      </w:r>
      <w:r w:rsidR="000D53B8">
        <w:rPr>
          <w:rFonts w:ascii="Times New Roman" w:hAnsi="Times New Roman" w:cs="Times New Roman"/>
          <w:color w:val="000000"/>
        </w:rPr>
        <w:t>L</w:t>
      </w:r>
      <w:r w:rsidR="000D53B8" w:rsidRPr="00EF62B2">
        <w:rPr>
          <w:rFonts w:ascii="Times New Roman" w:hAnsi="Times New Roman" w:cs="Times New Roman"/>
          <w:color w:val="000000"/>
        </w:rPr>
        <w:t xml:space="preserve">esnykh, </w:t>
      </w:r>
      <w:r w:rsidR="000D53B8">
        <w:rPr>
          <w:rFonts w:ascii="Times New Roman" w:hAnsi="Times New Roman" w:cs="Times New Roman"/>
          <w:color w:val="000000"/>
        </w:rPr>
        <w:t>P</w:t>
      </w:r>
      <w:r w:rsidR="000D53B8" w:rsidRPr="00EF62B2">
        <w:rPr>
          <w:rFonts w:ascii="Times New Roman" w:hAnsi="Times New Roman" w:cs="Times New Roman"/>
          <w:color w:val="000000"/>
        </w:rPr>
        <w:t>esta 2025</w:t>
      </w:r>
      <w:r w:rsidR="00883EC2" w:rsidRPr="00197B1A">
        <w:rPr>
          <w:rFonts w:ascii="Times New Roman" w:eastAsia="Times New Roman" w:hAnsi="Times New Roman" w:cs="Times New Roman"/>
          <w:color w:val="000000" w:themeColor="text1"/>
          <w:lang w:eastAsia="fr-FR"/>
        </w:rPr>
        <w:t xml:space="preserve">). In terms of geography, </w:t>
      </w:r>
      <w:r w:rsidR="001807A1" w:rsidRPr="00197B1A">
        <w:rPr>
          <w:rFonts w:ascii="Times New Roman" w:eastAsia="Times New Roman" w:hAnsi="Times New Roman" w:cs="Times New Roman"/>
          <w:color w:val="000000" w:themeColor="text1"/>
          <w:lang w:eastAsia="fr-FR"/>
        </w:rPr>
        <w:t>recent scholarship</w:t>
      </w:r>
      <w:r w:rsidR="001807A1">
        <w:rPr>
          <w:rFonts w:ascii="Times New Roman" w:eastAsia="Times New Roman" w:hAnsi="Times New Roman" w:cs="Times New Roman"/>
          <w:color w:val="000000" w:themeColor="text1"/>
          <w:lang w:eastAsia="fr-FR"/>
        </w:rPr>
        <w:t xml:space="preserve"> has shown a</w:t>
      </w:r>
      <w:r w:rsidR="00883EC2">
        <w:rPr>
          <w:rFonts w:ascii="Times New Roman" w:eastAsia="Times New Roman" w:hAnsi="Times New Roman" w:cs="Times New Roman"/>
          <w:color w:val="000000" w:themeColor="text1"/>
          <w:lang w:eastAsia="fr-FR"/>
        </w:rPr>
        <w:t xml:space="preserve"> renewed interest in</w:t>
      </w:r>
      <w:r w:rsidR="001807A1">
        <w:rPr>
          <w:rFonts w:ascii="Times New Roman" w:eastAsia="Times New Roman" w:hAnsi="Times New Roman" w:cs="Times New Roman"/>
          <w:color w:val="000000" w:themeColor="text1"/>
          <w:lang w:eastAsia="fr-FR"/>
        </w:rPr>
        <w:t xml:space="preserve"> the</w:t>
      </w:r>
      <w:r w:rsidR="00883EC2">
        <w:rPr>
          <w:rFonts w:ascii="Times New Roman" w:eastAsia="Times New Roman" w:hAnsi="Times New Roman" w:cs="Times New Roman"/>
          <w:color w:val="000000" w:themeColor="text1"/>
          <w:lang w:eastAsia="fr-FR"/>
        </w:rPr>
        <w:t xml:space="preserve"> Europeanization of universities</w:t>
      </w:r>
      <w:r w:rsidR="001807A1">
        <w:rPr>
          <w:rFonts w:ascii="Times New Roman" w:eastAsia="Times New Roman" w:hAnsi="Times New Roman" w:cs="Times New Roman"/>
          <w:color w:val="000000" w:themeColor="text1"/>
          <w:lang w:eastAsia="fr-FR"/>
        </w:rPr>
        <w:t xml:space="preserve"> </w:t>
      </w:r>
      <w:r w:rsidR="001807A1" w:rsidRPr="00F71839">
        <w:rPr>
          <w:rFonts w:ascii="Times New Roman" w:eastAsia="Times New Roman" w:hAnsi="Times New Roman" w:cs="Times New Roman"/>
          <w:color w:val="000000" w:themeColor="text1"/>
          <w:lang w:eastAsia="fr-FR"/>
        </w:rPr>
        <w:t>(</w:t>
      </w:r>
      <w:r w:rsidR="001807A1">
        <w:rPr>
          <w:rFonts w:ascii="Times New Roman" w:eastAsia="Times New Roman" w:hAnsi="Times New Roman" w:cs="Times New Roman"/>
          <w:color w:val="000000" w:themeColor="text1"/>
          <w:lang w:eastAsia="fr-FR"/>
        </w:rPr>
        <w:t>R</w:t>
      </w:r>
      <w:r w:rsidR="001807A1" w:rsidRPr="00F71839">
        <w:rPr>
          <w:rFonts w:ascii="Times New Roman" w:eastAsia="Times New Roman" w:hAnsi="Times New Roman" w:cs="Times New Roman"/>
          <w:color w:val="000000" w:themeColor="text1"/>
          <w:lang w:eastAsia="fr-FR"/>
        </w:rPr>
        <w:t>uppen-</w:t>
      </w:r>
      <w:r w:rsidR="001807A1">
        <w:rPr>
          <w:rFonts w:ascii="Times New Roman" w:eastAsia="Times New Roman" w:hAnsi="Times New Roman" w:cs="Times New Roman"/>
          <w:color w:val="000000" w:themeColor="text1"/>
          <w:lang w:eastAsia="fr-FR"/>
        </w:rPr>
        <w:t>C</w:t>
      </w:r>
      <w:r w:rsidR="001807A1" w:rsidRPr="00F71839">
        <w:rPr>
          <w:rFonts w:ascii="Times New Roman" w:eastAsia="Times New Roman" w:hAnsi="Times New Roman" w:cs="Times New Roman"/>
          <w:color w:val="000000" w:themeColor="text1"/>
          <w:lang w:eastAsia="fr-FR"/>
        </w:rPr>
        <w:t xml:space="preserve">outaz, </w:t>
      </w:r>
      <w:r w:rsidR="001807A1">
        <w:rPr>
          <w:rFonts w:ascii="Times New Roman" w:eastAsia="Times New Roman" w:hAnsi="Times New Roman" w:cs="Times New Roman"/>
          <w:color w:val="000000" w:themeColor="text1"/>
          <w:lang w:eastAsia="fr-FR"/>
        </w:rPr>
        <w:t>P</w:t>
      </w:r>
      <w:r w:rsidR="001807A1" w:rsidRPr="00F71839">
        <w:rPr>
          <w:rFonts w:ascii="Times New Roman" w:eastAsia="Times New Roman" w:hAnsi="Times New Roman" w:cs="Times New Roman"/>
          <w:color w:val="000000" w:themeColor="text1"/>
          <w:lang w:eastAsia="fr-FR"/>
        </w:rPr>
        <w:t>aoli 2024</w:t>
      </w:r>
      <w:r w:rsidR="001807A1">
        <w:rPr>
          <w:rFonts w:ascii="Times New Roman" w:eastAsia="Times New Roman" w:hAnsi="Times New Roman" w:cs="Times New Roman"/>
          <w:color w:val="000000" w:themeColor="text1"/>
          <w:lang w:eastAsia="fr-FR"/>
        </w:rPr>
        <w:t>,</w:t>
      </w:r>
      <w:r w:rsidR="001807A1" w:rsidRPr="00F71839">
        <w:rPr>
          <w:rFonts w:ascii="Times New Roman" w:eastAsia="Times New Roman" w:hAnsi="Times New Roman" w:cs="Times New Roman"/>
          <w:color w:val="000000" w:themeColor="text1"/>
          <w:lang w:eastAsia="fr-FR"/>
        </w:rPr>
        <w:t xml:space="preserve"> </w:t>
      </w:r>
      <w:r w:rsidR="001807A1">
        <w:rPr>
          <w:rFonts w:ascii="Times New Roman" w:eastAsia="Times New Roman" w:hAnsi="Times New Roman" w:cs="Times New Roman"/>
          <w:color w:val="000000" w:themeColor="text1"/>
          <w:lang w:eastAsia="fr-FR"/>
        </w:rPr>
        <w:t>H</w:t>
      </w:r>
      <w:r w:rsidR="001807A1" w:rsidRPr="00F71839">
        <w:rPr>
          <w:rFonts w:ascii="Times New Roman" w:eastAsia="Times New Roman" w:hAnsi="Times New Roman" w:cs="Times New Roman"/>
          <w:color w:val="000000" w:themeColor="text1"/>
          <w:lang w:eastAsia="fr-FR"/>
        </w:rPr>
        <w:t xml:space="preserve">aikola, </w:t>
      </w:r>
      <w:r w:rsidR="001807A1">
        <w:rPr>
          <w:rFonts w:ascii="Times New Roman" w:eastAsia="Times New Roman" w:hAnsi="Times New Roman" w:cs="Times New Roman"/>
          <w:color w:val="000000" w:themeColor="text1"/>
          <w:lang w:eastAsia="fr-FR"/>
        </w:rPr>
        <w:t>Ö</w:t>
      </w:r>
      <w:r w:rsidR="001807A1" w:rsidRPr="00F71839">
        <w:rPr>
          <w:rFonts w:ascii="Times New Roman" w:eastAsia="Times New Roman" w:hAnsi="Times New Roman" w:cs="Times New Roman"/>
          <w:color w:val="000000" w:themeColor="text1"/>
          <w:lang w:eastAsia="fr-FR"/>
        </w:rPr>
        <w:t>stling 2025</w:t>
      </w:r>
      <w:r w:rsidR="001807A1">
        <w:rPr>
          <w:rFonts w:ascii="Times New Roman" w:eastAsia="Times New Roman" w:hAnsi="Times New Roman" w:cs="Times New Roman"/>
          <w:color w:val="000000" w:themeColor="text1"/>
          <w:lang w:eastAsia="fr-FR"/>
        </w:rPr>
        <w:t>); other</w:t>
      </w:r>
      <w:r w:rsidR="00F25E66">
        <w:rPr>
          <w:rFonts w:ascii="Times New Roman" w:eastAsia="Times New Roman" w:hAnsi="Times New Roman" w:cs="Times New Roman"/>
          <w:color w:val="000000" w:themeColor="text1"/>
          <w:lang w:eastAsia="fr-FR"/>
        </w:rPr>
        <w:t xml:space="preserve"> studies </w:t>
      </w:r>
      <w:r w:rsidR="001807A1">
        <w:rPr>
          <w:rFonts w:ascii="Times New Roman" w:eastAsia="Times New Roman" w:hAnsi="Times New Roman" w:cs="Times New Roman"/>
          <w:color w:val="000000" w:themeColor="text1"/>
          <w:lang w:eastAsia="fr-FR"/>
        </w:rPr>
        <w:t>about academic mobility offer a more inclusive perspective and focus on a wider range of home and host countries</w:t>
      </w:r>
      <w:r w:rsidR="00F25E66">
        <w:rPr>
          <w:rFonts w:ascii="Times New Roman" w:eastAsia="Times New Roman" w:hAnsi="Times New Roman" w:cs="Times New Roman"/>
          <w:color w:val="000000" w:themeColor="text1"/>
          <w:lang w:eastAsia="fr-FR"/>
        </w:rPr>
        <w:t xml:space="preserve"> outside of the western world</w:t>
      </w:r>
      <w:r w:rsidR="001807A1">
        <w:rPr>
          <w:rFonts w:ascii="Times New Roman" w:eastAsia="Times New Roman" w:hAnsi="Times New Roman" w:cs="Times New Roman"/>
          <w:color w:val="000000" w:themeColor="text1"/>
          <w:lang w:eastAsia="fr-FR"/>
        </w:rPr>
        <w:t xml:space="preserve">, including colonial and post-colonial </w:t>
      </w:r>
      <w:r w:rsidR="00883EC2">
        <w:rPr>
          <w:rFonts w:ascii="Times New Roman" w:hAnsi="Times New Roman" w:cs="Times New Roman"/>
        </w:rPr>
        <w:t>spaces</w:t>
      </w:r>
      <w:r w:rsidR="00F25E66">
        <w:rPr>
          <w:rFonts w:ascii="Times New Roman" w:hAnsi="Times New Roman" w:cs="Times New Roman"/>
        </w:rPr>
        <w:t xml:space="preserve"> </w:t>
      </w:r>
      <w:r w:rsidR="001807A1">
        <w:rPr>
          <w:rFonts w:ascii="Times New Roman" w:hAnsi="Times New Roman" w:cs="Times New Roman"/>
        </w:rPr>
        <w:t>(</w:t>
      </w:r>
      <w:r w:rsidR="00F25E66">
        <w:rPr>
          <w:rFonts w:ascii="Times New Roman" w:hAnsi="Times New Roman" w:cs="Times New Roman"/>
          <w:color w:val="000000"/>
          <w:u w:color="0000E9"/>
        </w:rPr>
        <w:t>H</w:t>
      </w:r>
      <w:r w:rsidR="00F25E66" w:rsidRPr="007D7C65">
        <w:rPr>
          <w:rFonts w:ascii="Times New Roman" w:hAnsi="Times New Roman" w:cs="Times New Roman"/>
          <w:color w:val="000000"/>
          <w:u w:color="0000E9"/>
        </w:rPr>
        <w:t>arrell, 1992</w:t>
      </w:r>
      <w:r w:rsidR="00F25E66">
        <w:rPr>
          <w:rFonts w:ascii="Times New Roman" w:hAnsi="Times New Roman" w:cs="Times New Roman"/>
          <w:color w:val="000000"/>
          <w:u w:color="0000E9"/>
        </w:rPr>
        <w:t>,</w:t>
      </w:r>
      <w:r w:rsidR="00F25E66" w:rsidRPr="007D7C65">
        <w:rPr>
          <w:rFonts w:ascii="Times New Roman" w:hAnsi="Times New Roman" w:cs="Times New Roman"/>
          <w:color w:val="000000"/>
          <w:u w:color="0000E9"/>
        </w:rPr>
        <w:t> </w:t>
      </w:r>
      <w:r w:rsidR="001807A1">
        <w:rPr>
          <w:rFonts w:ascii="Times New Roman" w:eastAsia="Times New Roman" w:hAnsi="Times New Roman" w:cs="Times New Roman"/>
          <w:color w:val="000000" w:themeColor="text1"/>
          <w:lang w:eastAsia="fr-FR"/>
        </w:rPr>
        <w:t>M</w:t>
      </w:r>
      <w:r w:rsidR="001807A1" w:rsidRPr="00F71839">
        <w:rPr>
          <w:rFonts w:ascii="Times New Roman" w:eastAsia="Times New Roman" w:hAnsi="Times New Roman" w:cs="Times New Roman"/>
          <w:color w:val="000000" w:themeColor="text1"/>
          <w:lang w:eastAsia="fr-FR"/>
        </w:rPr>
        <w:t>ukerjee 2010</w:t>
      </w:r>
      <w:r w:rsidR="001807A1">
        <w:rPr>
          <w:rFonts w:ascii="Times New Roman" w:eastAsia="Times New Roman" w:hAnsi="Times New Roman" w:cs="Times New Roman"/>
          <w:color w:val="000000" w:themeColor="text1"/>
          <w:lang w:eastAsia="fr-FR"/>
        </w:rPr>
        <w:t xml:space="preserve">, </w:t>
      </w:r>
      <w:r w:rsidR="00F25E66">
        <w:rPr>
          <w:rFonts w:ascii="Times New Roman" w:hAnsi="Times New Roman" w:cs="Times New Roman"/>
          <w:color w:val="000000"/>
          <w:u w:color="0000E9"/>
        </w:rPr>
        <w:t>F</w:t>
      </w:r>
      <w:r w:rsidR="00F25E66" w:rsidRPr="007D7C65">
        <w:rPr>
          <w:rFonts w:ascii="Times New Roman" w:hAnsi="Times New Roman" w:cs="Times New Roman"/>
          <w:color w:val="000000"/>
          <w:u w:color="0000E9"/>
        </w:rPr>
        <w:t>ei 2017</w:t>
      </w:r>
      <w:r w:rsidR="00F25E66">
        <w:rPr>
          <w:rFonts w:ascii="Times New Roman" w:hAnsi="Times New Roman" w:cs="Times New Roman"/>
          <w:color w:val="000000"/>
          <w:u w:color="0000E9"/>
        </w:rPr>
        <w:t>,</w:t>
      </w:r>
      <w:r w:rsidR="00F25E66" w:rsidRPr="007D7C65">
        <w:rPr>
          <w:rFonts w:ascii="Times New Roman" w:hAnsi="Times New Roman" w:cs="Times New Roman"/>
          <w:color w:val="000000"/>
          <w:u w:color="0000E9"/>
        </w:rPr>
        <w:t> </w:t>
      </w:r>
      <w:r w:rsidR="001807A1">
        <w:rPr>
          <w:rFonts w:ascii="Times New Roman" w:eastAsia="Times New Roman" w:hAnsi="Times New Roman" w:cs="Times New Roman"/>
          <w:color w:val="000000" w:themeColor="text1"/>
          <w:lang w:eastAsia="fr-FR"/>
        </w:rPr>
        <w:t>L</w:t>
      </w:r>
      <w:r w:rsidR="001807A1" w:rsidRPr="00F71839">
        <w:rPr>
          <w:rFonts w:ascii="Times New Roman" w:eastAsia="Times New Roman" w:hAnsi="Times New Roman" w:cs="Times New Roman"/>
          <w:color w:val="000000" w:themeColor="text1"/>
          <w:lang w:eastAsia="fr-FR"/>
        </w:rPr>
        <w:t>egrandjacques 2021</w:t>
      </w:r>
      <w:r w:rsidR="001807A1">
        <w:rPr>
          <w:rFonts w:ascii="Times New Roman" w:eastAsia="Times New Roman" w:hAnsi="Times New Roman" w:cs="Times New Roman"/>
          <w:color w:val="000000" w:themeColor="text1"/>
          <w:lang w:eastAsia="fr-FR"/>
        </w:rPr>
        <w:t xml:space="preserve">). However, in contrast to fields like linguistics </w:t>
      </w:r>
      <w:r w:rsidR="001807A1" w:rsidRPr="00F71839">
        <w:rPr>
          <w:rFonts w:ascii="Times New Roman" w:eastAsia="Times New Roman" w:hAnsi="Times New Roman" w:cs="Times New Roman"/>
          <w:color w:val="000000" w:themeColor="text1"/>
          <w:lang w:eastAsia="fr-FR"/>
        </w:rPr>
        <w:t>(</w:t>
      </w:r>
      <w:r w:rsidR="001807A1">
        <w:rPr>
          <w:rFonts w:ascii="Times New Roman" w:eastAsia="Times New Roman" w:hAnsi="Times New Roman" w:cs="Times New Roman"/>
          <w:color w:val="000000" w:themeColor="text1"/>
          <w:lang w:eastAsia="fr-FR"/>
        </w:rPr>
        <w:t>M</w:t>
      </w:r>
      <w:r w:rsidR="001807A1" w:rsidRPr="00F71839">
        <w:rPr>
          <w:rFonts w:ascii="Times New Roman" w:eastAsia="Times New Roman" w:hAnsi="Times New Roman" w:cs="Times New Roman"/>
          <w:color w:val="000000" w:themeColor="text1"/>
          <w:lang w:eastAsia="fr-FR"/>
        </w:rPr>
        <w:t xml:space="preserve">essana 2024) </w:t>
      </w:r>
      <w:r w:rsidR="001807A1">
        <w:rPr>
          <w:rFonts w:ascii="Times New Roman" w:eastAsia="Times New Roman" w:hAnsi="Times New Roman" w:cs="Times New Roman"/>
          <w:color w:val="000000" w:themeColor="text1"/>
          <w:lang w:eastAsia="fr-FR"/>
        </w:rPr>
        <w:t>and education</w:t>
      </w:r>
      <w:r w:rsidR="001807A1" w:rsidRPr="001807A1">
        <w:rPr>
          <w:rFonts w:ascii="Times New Roman" w:eastAsia="Times New Roman" w:hAnsi="Times New Roman" w:cs="Times New Roman"/>
          <w:color w:val="000000" w:themeColor="text1"/>
          <w:lang w:eastAsia="fr-FR"/>
        </w:rPr>
        <w:t xml:space="preserve"> </w:t>
      </w:r>
      <w:r w:rsidR="001807A1">
        <w:rPr>
          <w:rFonts w:ascii="Times New Roman" w:eastAsia="Times New Roman" w:hAnsi="Times New Roman" w:cs="Times New Roman"/>
          <w:color w:val="000000" w:themeColor="text1"/>
          <w:lang w:eastAsia="fr-FR"/>
        </w:rPr>
        <w:t>(R</w:t>
      </w:r>
      <w:r w:rsidR="001807A1" w:rsidRPr="00F71839">
        <w:rPr>
          <w:rFonts w:ascii="Times New Roman" w:eastAsia="Times New Roman" w:hAnsi="Times New Roman" w:cs="Times New Roman"/>
          <w:color w:val="000000" w:themeColor="text1"/>
          <w:lang w:eastAsia="fr-FR"/>
        </w:rPr>
        <w:t>uet 2018</w:t>
      </w:r>
      <w:r w:rsidR="001807A1">
        <w:rPr>
          <w:rFonts w:ascii="Times New Roman" w:eastAsia="Times New Roman" w:hAnsi="Times New Roman" w:cs="Times New Roman"/>
          <w:color w:val="000000" w:themeColor="text1"/>
          <w:lang w:eastAsia="fr-FR"/>
        </w:rPr>
        <w:t>,</w:t>
      </w:r>
      <w:r w:rsidR="001807A1" w:rsidRPr="00F71839">
        <w:rPr>
          <w:rFonts w:ascii="Times New Roman" w:eastAsia="Times New Roman" w:hAnsi="Times New Roman" w:cs="Times New Roman"/>
          <w:color w:val="000000" w:themeColor="text1"/>
          <w:lang w:eastAsia="fr-FR"/>
        </w:rPr>
        <w:t xml:space="preserve"> </w:t>
      </w:r>
      <w:r w:rsidR="001807A1">
        <w:rPr>
          <w:rFonts w:ascii="Times New Roman" w:eastAsia="Times New Roman" w:hAnsi="Times New Roman" w:cs="Times New Roman"/>
          <w:color w:val="000000" w:themeColor="text1"/>
          <w:lang w:eastAsia="fr-FR"/>
        </w:rPr>
        <w:t>M</w:t>
      </w:r>
      <w:r w:rsidR="001807A1" w:rsidRPr="00F71839">
        <w:rPr>
          <w:rFonts w:ascii="Times New Roman" w:eastAsia="Times New Roman" w:hAnsi="Times New Roman" w:cs="Times New Roman"/>
          <w:color w:val="000000" w:themeColor="text1"/>
          <w:lang w:eastAsia="fr-FR"/>
        </w:rPr>
        <w:t xml:space="preserve">olinier, </w:t>
      </w:r>
      <w:r w:rsidR="001807A1">
        <w:rPr>
          <w:rFonts w:ascii="Times New Roman" w:eastAsia="Times New Roman" w:hAnsi="Times New Roman" w:cs="Times New Roman"/>
          <w:color w:val="000000" w:themeColor="text1"/>
          <w:lang w:eastAsia="fr-FR"/>
        </w:rPr>
        <w:t>M</w:t>
      </w:r>
      <w:r w:rsidR="001807A1" w:rsidRPr="00F71839">
        <w:rPr>
          <w:rFonts w:ascii="Times New Roman" w:eastAsia="Times New Roman" w:hAnsi="Times New Roman" w:cs="Times New Roman"/>
          <w:color w:val="000000" w:themeColor="text1"/>
          <w:lang w:eastAsia="fr-FR"/>
        </w:rPr>
        <w:t>oore 2020</w:t>
      </w:r>
      <w:r w:rsidR="001807A1">
        <w:rPr>
          <w:rFonts w:ascii="Times New Roman" w:eastAsia="Times New Roman" w:hAnsi="Times New Roman" w:cs="Times New Roman"/>
          <w:color w:val="000000" w:themeColor="text1"/>
          <w:lang w:eastAsia="fr-FR"/>
        </w:rPr>
        <w:t>), historians rarely broach</w:t>
      </w:r>
      <w:r w:rsidR="008846A3">
        <w:rPr>
          <w:rFonts w:ascii="Times New Roman" w:eastAsia="Times New Roman" w:hAnsi="Times New Roman" w:cs="Times New Roman"/>
          <w:color w:val="000000" w:themeColor="text1"/>
          <w:lang w:eastAsia="fr-FR"/>
        </w:rPr>
        <w:t xml:space="preserve"> </w:t>
      </w:r>
      <w:r w:rsidR="001807A1">
        <w:rPr>
          <w:rFonts w:ascii="Times New Roman" w:eastAsia="Times New Roman" w:hAnsi="Times New Roman" w:cs="Times New Roman"/>
          <w:color w:val="000000" w:themeColor="text1"/>
          <w:lang w:eastAsia="fr-FR"/>
        </w:rPr>
        <w:t xml:space="preserve">the topic of language acquisition for mobile students as a subject worth studying in its own right. </w:t>
      </w:r>
    </w:p>
    <w:p w14:paraId="6D342CE6" w14:textId="4F34F4EB" w:rsidR="008846A3" w:rsidRDefault="00F25E66" w:rsidP="00E72E4D">
      <w:pPr>
        <w:jc w:val="both"/>
        <w:rPr>
          <w:rFonts w:ascii="Times New Roman" w:hAnsi="Times New Roman" w:cs="Times New Roman"/>
        </w:rPr>
      </w:pPr>
      <w:r>
        <w:rPr>
          <w:rFonts w:ascii="Times New Roman" w:hAnsi="Times New Roman" w:cs="Times New Roman"/>
        </w:rPr>
        <w:lastRenderedPageBreak/>
        <w:t>To</w:t>
      </w:r>
      <w:r w:rsidR="008846A3">
        <w:rPr>
          <w:rFonts w:ascii="Times New Roman" w:hAnsi="Times New Roman" w:cs="Times New Roman"/>
        </w:rPr>
        <w:t xml:space="preserve"> develop a historical analysis of </w:t>
      </w:r>
      <w:r w:rsidR="008846A3" w:rsidRPr="008846A3">
        <w:rPr>
          <w:rFonts w:ascii="Times New Roman" w:hAnsi="Times New Roman" w:cs="Times New Roman"/>
          <w:b/>
          <w:bCs/>
        </w:rPr>
        <w:t>language and student mobility</w:t>
      </w:r>
      <w:r w:rsidR="008846A3">
        <w:rPr>
          <w:rFonts w:ascii="Times New Roman" w:hAnsi="Times New Roman" w:cs="Times New Roman"/>
          <w:b/>
          <w:bCs/>
        </w:rPr>
        <w:t xml:space="preserve">, </w:t>
      </w:r>
      <w:r w:rsidR="008846A3">
        <w:rPr>
          <w:rFonts w:ascii="Times New Roman" w:hAnsi="Times New Roman" w:cs="Times New Roman"/>
        </w:rPr>
        <w:t xml:space="preserve">while also remaining open to interdisciplinary perspectives (education, sociology, political science, linguistics), </w:t>
      </w:r>
      <w:r>
        <w:rPr>
          <w:rFonts w:ascii="Times New Roman" w:hAnsi="Times New Roman" w:cs="Times New Roman"/>
        </w:rPr>
        <w:t xml:space="preserve">we invite proposals related to </w:t>
      </w:r>
      <w:r w:rsidR="008846A3">
        <w:rPr>
          <w:rFonts w:ascii="Times New Roman" w:hAnsi="Times New Roman" w:cs="Times New Roman"/>
        </w:rPr>
        <w:t xml:space="preserve">the following </w:t>
      </w:r>
      <w:r>
        <w:rPr>
          <w:rFonts w:ascii="Times New Roman" w:hAnsi="Times New Roman" w:cs="Times New Roman"/>
        </w:rPr>
        <w:t xml:space="preserve">methodological </w:t>
      </w:r>
      <w:r w:rsidR="008846A3">
        <w:rPr>
          <w:rFonts w:ascii="Times New Roman" w:hAnsi="Times New Roman" w:cs="Times New Roman"/>
        </w:rPr>
        <w:t xml:space="preserve">approaches: </w:t>
      </w:r>
    </w:p>
    <w:p w14:paraId="52BED89B" w14:textId="553A6939" w:rsidR="00F25E66" w:rsidRDefault="00F25E66" w:rsidP="00E72E4D">
      <w:pPr>
        <w:jc w:val="both"/>
        <w:rPr>
          <w:rFonts w:ascii="Times New Roman" w:hAnsi="Times New Roman" w:cs="Times New Roman"/>
        </w:rPr>
      </w:pPr>
      <w:r>
        <w:rPr>
          <w:rFonts w:ascii="Times New Roman" w:hAnsi="Times New Roman" w:cs="Times New Roman"/>
        </w:rPr>
        <w:t>-</w:t>
      </w:r>
      <w:r w:rsidR="003C26F6">
        <w:rPr>
          <w:rFonts w:ascii="Times New Roman" w:hAnsi="Times New Roman" w:cs="Times New Roman"/>
          <w:b/>
          <w:bCs/>
        </w:rPr>
        <w:t>A language for learning</w:t>
      </w:r>
      <w:r w:rsidR="001F718E">
        <w:rPr>
          <w:rFonts w:ascii="Times New Roman" w:hAnsi="Times New Roman" w:cs="Times New Roman"/>
          <w:b/>
          <w:bCs/>
        </w:rPr>
        <w:t xml:space="preserve"> and accessing knowledge</w:t>
      </w:r>
      <w:r>
        <w:rPr>
          <w:rFonts w:ascii="Times New Roman" w:hAnsi="Times New Roman" w:cs="Times New Roman"/>
          <w:b/>
          <w:bCs/>
        </w:rPr>
        <w:t xml:space="preserve">: </w:t>
      </w:r>
      <w:r w:rsidR="00E40524">
        <w:rPr>
          <w:rFonts w:ascii="Times New Roman" w:hAnsi="Times New Roman" w:cs="Times New Roman"/>
        </w:rPr>
        <w:t xml:space="preserve">This first approach asks scholars to reflect on how mobile students are able to pursue their course of study from </w:t>
      </w:r>
      <w:r w:rsidR="00C241A7">
        <w:rPr>
          <w:rFonts w:ascii="Times New Roman" w:hAnsi="Times New Roman" w:cs="Times New Roman"/>
        </w:rPr>
        <w:t xml:space="preserve">the </w:t>
      </w:r>
      <w:r w:rsidR="00E40524">
        <w:rPr>
          <w:rFonts w:ascii="Times New Roman" w:hAnsi="Times New Roman" w:cs="Times New Roman"/>
        </w:rPr>
        <w:t>perspective</w:t>
      </w:r>
      <w:r w:rsidR="00C241A7">
        <w:rPr>
          <w:rFonts w:ascii="Times New Roman" w:hAnsi="Times New Roman" w:cs="Times New Roman"/>
        </w:rPr>
        <w:t xml:space="preserve"> of language</w:t>
      </w:r>
      <w:r w:rsidR="00E40524">
        <w:rPr>
          <w:rFonts w:ascii="Times New Roman" w:hAnsi="Times New Roman" w:cs="Times New Roman"/>
        </w:rPr>
        <w:t xml:space="preserve">. This includes </w:t>
      </w:r>
      <w:r w:rsidR="00E40524" w:rsidRPr="00197B1A">
        <w:rPr>
          <w:rFonts w:ascii="Times New Roman" w:hAnsi="Times New Roman" w:cs="Times New Roman"/>
          <w:b/>
          <w:bCs/>
        </w:rPr>
        <w:t xml:space="preserve">the tools, means of support, and </w:t>
      </w:r>
      <w:r w:rsidR="003C26F6" w:rsidRPr="00197B1A">
        <w:rPr>
          <w:rFonts w:ascii="Times New Roman" w:hAnsi="Times New Roman" w:cs="Times New Roman"/>
          <w:b/>
          <w:bCs/>
        </w:rPr>
        <w:t>strategies</w:t>
      </w:r>
      <w:r w:rsidR="00E40524">
        <w:rPr>
          <w:rFonts w:ascii="Times New Roman" w:hAnsi="Times New Roman" w:cs="Times New Roman"/>
        </w:rPr>
        <w:t xml:space="preserve"> that students have access to before or during their time abroad and how they utilize, or</w:t>
      </w:r>
      <w:r w:rsidR="003C26F6">
        <w:rPr>
          <w:rFonts w:ascii="Times New Roman" w:hAnsi="Times New Roman" w:cs="Times New Roman"/>
        </w:rPr>
        <w:t xml:space="preserve"> reject</w:t>
      </w:r>
      <w:r w:rsidR="00E40524">
        <w:rPr>
          <w:rFonts w:ascii="Times New Roman" w:hAnsi="Times New Roman" w:cs="Times New Roman"/>
        </w:rPr>
        <w:t xml:space="preserve">, these resources. In addition to emphasizing the importance of student autonomy, this journée d’études seeks to shed light on </w:t>
      </w:r>
      <w:r w:rsidR="00E40524" w:rsidRPr="00197B1A">
        <w:rPr>
          <w:rFonts w:ascii="Times New Roman" w:hAnsi="Times New Roman" w:cs="Times New Roman"/>
          <w:b/>
          <w:bCs/>
        </w:rPr>
        <w:t xml:space="preserve">the pedagogical practices and innovations </w:t>
      </w:r>
      <w:r w:rsidR="00E40524">
        <w:rPr>
          <w:rFonts w:ascii="Times New Roman" w:hAnsi="Times New Roman" w:cs="Times New Roman"/>
        </w:rPr>
        <w:t xml:space="preserve">used to facilitate </w:t>
      </w:r>
      <w:r w:rsidR="00B47064">
        <w:rPr>
          <w:rFonts w:ascii="Times New Roman" w:hAnsi="Times New Roman" w:cs="Times New Roman"/>
        </w:rPr>
        <w:t>the</w:t>
      </w:r>
      <w:r w:rsidR="00E40524">
        <w:rPr>
          <w:rFonts w:ascii="Times New Roman" w:hAnsi="Times New Roman" w:cs="Times New Roman"/>
        </w:rPr>
        <w:t xml:space="preserve"> acquisition</w:t>
      </w:r>
      <w:r w:rsidR="00B47064">
        <w:rPr>
          <w:rFonts w:ascii="Times New Roman" w:hAnsi="Times New Roman" w:cs="Times New Roman"/>
        </w:rPr>
        <w:t xml:space="preserve"> of the language </w:t>
      </w:r>
      <w:r w:rsidR="003C26F6">
        <w:rPr>
          <w:rFonts w:ascii="Times New Roman" w:hAnsi="Times New Roman" w:cs="Times New Roman"/>
        </w:rPr>
        <w:t xml:space="preserve">in which </w:t>
      </w:r>
      <w:r w:rsidR="00B47064">
        <w:rPr>
          <w:rFonts w:ascii="Times New Roman" w:hAnsi="Times New Roman" w:cs="Times New Roman"/>
        </w:rPr>
        <w:t xml:space="preserve">mobile students learn. What languages are students </w:t>
      </w:r>
      <w:r w:rsidR="00197B1A">
        <w:rPr>
          <w:rFonts w:ascii="Times New Roman" w:hAnsi="Times New Roman" w:cs="Times New Roman"/>
        </w:rPr>
        <w:t>speaking</w:t>
      </w:r>
      <w:r w:rsidR="00B47064">
        <w:rPr>
          <w:rFonts w:ascii="Times New Roman" w:hAnsi="Times New Roman" w:cs="Times New Roman"/>
        </w:rPr>
        <w:t xml:space="preserve"> when they study abroad (language of the host country, English, other)? How does their ability to express themselves evolve over time? Are there any notable disciplinary innovations, particularly in </w:t>
      </w:r>
      <w:r w:rsidR="003C26F6">
        <w:rPr>
          <w:rFonts w:ascii="Times New Roman" w:hAnsi="Times New Roman" w:cs="Times New Roman"/>
        </w:rPr>
        <w:t>linguistics</w:t>
      </w:r>
      <w:r w:rsidR="00B47064">
        <w:rPr>
          <w:rFonts w:ascii="Times New Roman" w:hAnsi="Times New Roman" w:cs="Times New Roman"/>
        </w:rPr>
        <w:t xml:space="preserve">, that help students learn? What impact does student mobility have on language instruction and academic curriculum in host countries? </w:t>
      </w:r>
    </w:p>
    <w:p w14:paraId="1ADE69A4" w14:textId="1D65CEC4" w:rsidR="003C26F6" w:rsidRDefault="003C26F6" w:rsidP="00E72E4D">
      <w:pPr>
        <w:jc w:val="both"/>
        <w:rPr>
          <w:rFonts w:ascii="Times New Roman" w:hAnsi="Times New Roman" w:cs="Times New Roman"/>
        </w:rPr>
      </w:pPr>
      <w:r>
        <w:rPr>
          <w:rFonts w:ascii="Times New Roman" w:hAnsi="Times New Roman" w:cs="Times New Roman"/>
          <w:b/>
          <w:bCs/>
        </w:rPr>
        <w:t xml:space="preserve">-Actors and Sites of Learning: </w:t>
      </w:r>
      <w:r w:rsidR="00C241A7">
        <w:rPr>
          <w:rFonts w:ascii="Times New Roman" w:hAnsi="Times New Roman" w:cs="Times New Roman"/>
        </w:rPr>
        <w:t xml:space="preserve">The issue of language </w:t>
      </w:r>
      <w:r w:rsidR="00197B1A">
        <w:rPr>
          <w:rFonts w:ascii="Times New Roman" w:hAnsi="Times New Roman" w:cs="Times New Roman"/>
        </w:rPr>
        <w:t>learning</w:t>
      </w:r>
      <w:r w:rsidRPr="003C26F6">
        <w:rPr>
          <w:rFonts w:ascii="Times New Roman" w:hAnsi="Times New Roman" w:cs="Times New Roman"/>
        </w:rPr>
        <w:t xml:space="preserve"> </w:t>
      </w:r>
      <w:r w:rsidR="00C13C86">
        <w:rPr>
          <w:rFonts w:ascii="Times New Roman" w:hAnsi="Times New Roman" w:cs="Times New Roman"/>
        </w:rPr>
        <w:t>for mobile students</w:t>
      </w:r>
      <w:r>
        <w:rPr>
          <w:rFonts w:ascii="Times New Roman" w:hAnsi="Times New Roman" w:cs="Times New Roman"/>
          <w:b/>
          <w:bCs/>
        </w:rPr>
        <w:t xml:space="preserve"> </w:t>
      </w:r>
      <w:r>
        <w:rPr>
          <w:rFonts w:ascii="Times New Roman" w:hAnsi="Times New Roman" w:cs="Times New Roman"/>
        </w:rPr>
        <w:t>involve</w:t>
      </w:r>
      <w:r w:rsidR="00C241A7">
        <w:rPr>
          <w:rFonts w:ascii="Times New Roman" w:hAnsi="Times New Roman" w:cs="Times New Roman"/>
        </w:rPr>
        <w:t>s</w:t>
      </w:r>
      <w:r>
        <w:rPr>
          <w:rFonts w:ascii="Times New Roman" w:hAnsi="Times New Roman" w:cs="Times New Roman"/>
        </w:rPr>
        <w:t xml:space="preserve"> a variety of actors aside from </w:t>
      </w:r>
      <w:r w:rsidR="00C13C86">
        <w:rPr>
          <w:rFonts w:ascii="Times New Roman" w:hAnsi="Times New Roman" w:cs="Times New Roman"/>
        </w:rPr>
        <w:t>the</w:t>
      </w:r>
      <w:r>
        <w:rPr>
          <w:rFonts w:ascii="Times New Roman" w:hAnsi="Times New Roman" w:cs="Times New Roman"/>
        </w:rPr>
        <w:t xml:space="preserve"> students</w:t>
      </w:r>
      <w:r w:rsidR="00C13C86">
        <w:rPr>
          <w:rFonts w:ascii="Times New Roman" w:hAnsi="Times New Roman" w:cs="Times New Roman"/>
        </w:rPr>
        <w:t xml:space="preserve"> themselves.</w:t>
      </w:r>
      <w:r w:rsidRPr="00197B1A">
        <w:rPr>
          <w:rFonts w:ascii="Times New Roman" w:hAnsi="Times New Roman" w:cs="Times New Roman"/>
        </w:rPr>
        <w:t xml:space="preserve"> </w:t>
      </w:r>
      <w:r w:rsidR="00C241A7" w:rsidRPr="00197B1A">
        <w:rPr>
          <w:rFonts w:ascii="Times New Roman" w:hAnsi="Times New Roman" w:cs="Times New Roman"/>
        </w:rPr>
        <w:t>If</w:t>
      </w:r>
      <w:r w:rsidR="00C241A7" w:rsidRPr="00C13C86">
        <w:rPr>
          <w:rFonts w:ascii="Times New Roman" w:hAnsi="Times New Roman" w:cs="Times New Roman"/>
          <w:b/>
          <w:bCs/>
        </w:rPr>
        <w:t xml:space="preserve"> members of the university </w:t>
      </w:r>
      <w:r w:rsidR="00C13C86">
        <w:rPr>
          <w:rFonts w:ascii="Times New Roman" w:hAnsi="Times New Roman" w:cs="Times New Roman"/>
        </w:rPr>
        <w:t>(</w:t>
      </w:r>
      <w:r w:rsidR="00C241A7">
        <w:rPr>
          <w:rFonts w:ascii="Times New Roman" w:hAnsi="Times New Roman" w:cs="Times New Roman"/>
        </w:rPr>
        <w:t>administrators</w:t>
      </w:r>
      <w:r w:rsidR="00C13C86">
        <w:rPr>
          <w:rFonts w:ascii="Times New Roman" w:hAnsi="Times New Roman" w:cs="Times New Roman"/>
        </w:rPr>
        <w:t>,</w:t>
      </w:r>
      <w:r w:rsidR="00C241A7">
        <w:rPr>
          <w:rFonts w:ascii="Times New Roman" w:hAnsi="Times New Roman" w:cs="Times New Roman"/>
        </w:rPr>
        <w:t xml:space="preserve"> instructors</w:t>
      </w:r>
      <w:r w:rsidR="00C13C86">
        <w:rPr>
          <w:rFonts w:ascii="Times New Roman" w:hAnsi="Times New Roman" w:cs="Times New Roman"/>
        </w:rPr>
        <w:t>, etc.)</w:t>
      </w:r>
      <w:r w:rsidR="00C241A7">
        <w:rPr>
          <w:rFonts w:ascii="Times New Roman" w:hAnsi="Times New Roman" w:cs="Times New Roman"/>
        </w:rPr>
        <w:t xml:space="preserve"> are invested in promoting language training for foreign students, </w:t>
      </w:r>
      <w:r w:rsidR="00C241A7" w:rsidRPr="00C13C86">
        <w:rPr>
          <w:rFonts w:ascii="Times New Roman" w:hAnsi="Times New Roman" w:cs="Times New Roman"/>
          <w:b/>
          <w:bCs/>
        </w:rPr>
        <w:t>outside actors</w:t>
      </w:r>
      <w:r w:rsidR="00C241A7">
        <w:rPr>
          <w:rFonts w:ascii="Times New Roman" w:hAnsi="Times New Roman" w:cs="Times New Roman"/>
        </w:rPr>
        <w:t xml:space="preserve"> can also become involved, such as public authorities, student organizations and other groups, as well as private individuals. </w:t>
      </w:r>
      <w:r w:rsidR="00197B1A">
        <w:rPr>
          <w:rFonts w:ascii="Times New Roman" w:hAnsi="Times New Roman" w:cs="Times New Roman"/>
        </w:rPr>
        <w:t>This approach may</w:t>
      </w:r>
      <w:r w:rsidR="00C13C86">
        <w:rPr>
          <w:rFonts w:ascii="Times New Roman" w:hAnsi="Times New Roman" w:cs="Times New Roman"/>
        </w:rPr>
        <w:t xml:space="preserve"> also consider the networks associated with the students—familial, migratory, or even alumni. </w:t>
      </w:r>
      <w:r w:rsidR="00197B1A">
        <w:rPr>
          <w:rFonts w:ascii="Times New Roman" w:hAnsi="Times New Roman" w:cs="Times New Roman"/>
        </w:rPr>
        <w:t>Scholars may also explore</w:t>
      </w:r>
      <w:r w:rsidR="00C13C86">
        <w:rPr>
          <w:rFonts w:ascii="Times New Roman" w:hAnsi="Times New Roman" w:cs="Times New Roman"/>
        </w:rPr>
        <w:t xml:space="preserve"> the diverse nature of these individuals and groups to consider factors related</w:t>
      </w:r>
      <w:r w:rsidR="00724A32">
        <w:rPr>
          <w:rFonts w:ascii="Times New Roman" w:hAnsi="Times New Roman" w:cs="Times New Roman"/>
        </w:rPr>
        <w:t xml:space="preserve"> </w:t>
      </w:r>
      <w:r w:rsidR="00C13C86">
        <w:rPr>
          <w:rFonts w:ascii="Times New Roman" w:hAnsi="Times New Roman" w:cs="Times New Roman"/>
        </w:rPr>
        <w:t xml:space="preserve">to </w:t>
      </w:r>
      <w:r w:rsidR="00197B1A">
        <w:rPr>
          <w:rFonts w:ascii="Times New Roman" w:hAnsi="Times New Roman" w:cs="Times New Roman"/>
        </w:rPr>
        <w:t xml:space="preserve">categories like </w:t>
      </w:r>
      <w:r w:rsidR="00C13C86" w:rsidRPr="00724A32">
        <w:rPr>
          <w:rFonts w:ascii="Times New Roman" w:hAnsi="Times New Roman" w:cs="Times New Roman"/>
          <w:b/>
          <w:bCs/>
        </w:rPr>
        <w:t>gender</w:t>
      </w:r>
      <w:r w:rsidR="00724A32">
        <w:rPr>
          <w:rFonts w:ascii="Times New Roman" w:hAnsi="Times New Roman" w:cs="Times New Roman"/>
        </w:rPr>
        <w:t xml:space="preserve">. For instance, what was the role of women among teaching staff? </w:t>
      </w:r>
      <w:r w:rsidR="00BE0C5F">
        <w:rPr>
          <w:rFonts w:ascii="Times New Roman" w:hAnsi="Times New Roman" w:cs="Times New Roman"/>
        </w:rPr>
        <w:t>Additionally,</w:t>
      </w:r>
      <w:r w:rsidR="00724A32">
        <w:rPr>
          <w:rFonts w:ascii="Times New Roman" w:hAnsi="Times New Roman" w:cs="Times New Roman"/>
        </w:rPr>
        <w:t xml:space="preserve"> there is the question of where students learn. How do they fit into traditional spaces at a university like classrooms?  Do they learn elsewhere? </w:t>
      </w:r>
      <w:r w:rsidR="00EE5BEE">
        <w:rPr>
          <w:rFonts w:ascii="Times New Roman" w:hAnsi="Times New Roman" w:cs="Times New Roman"/>
        </w:rPr>
        <w:t>What</w:t>
      </w:r>
      <w:r w:rsidR="00724A32">
        <w:rPr>
          <w:rFonts w:ascii="Times New Roman" w:hAnsi="Times New Roman" w:cs="Times New Roman"/>
        </w:rPr>
        <w:t xml:space="preserve"> do </w:t>
      </w:r>
      <w:r w:rsidR="00EE5BEE">
        <w:rPr>
          <w:rFonts w:ascii="Times New Roman" w:hAnsi="Times New Roman" w:cs="Times New Roman"/>
        </w:rPr>
        <w:t xml:space="preserve">these </w:t>
      </w:r>
      <w:r w:rsidR="00724A32">
        <w:rPr>
          <w:rFonts w:ascii="Times New Roman" w:hAnsi="Times New Roman" w:cs="Times New Roman"/>
        </w:rPr>
        <w:t xml:space="preserve">sites for learning </w:t>
      </w:r>
      <w:r w:rsidR="00EE5BEE">
        <w:rPr>
          <w:rFonts w:ascii="Times New Roman" w:hAnsi="Times New Roman" w:cs="Times New Roman"/>
        </w:rPr>
        <w:t>reveal about</w:t>
      </w:r>
      <w:r w:rsidR="00724A32">
        <w:rPr>
          <w:rFonts w:ascii="Times New Roman" w:hAnsi="Times New Roman" w:cs="Times New Roman"/>
        </w:rPr>
        <w:t xml:space="preserve"> native social practices?</w:t>
      </w:r>
      <w:r w:rsidR="00EE5BEE">
        <w:rPr>
          <w:rFonts w:ascii="Times New Roman" w:hAnsi="Times New Roman" w:cs="Times New Roman"/>
        </w:rPr>
        <w:t xml:space="preserve"> What is the role of third spaces (residence halls, restaurants, cafés) or private spaces? An analysis of these varied elements allows scholars to better understand the </w:t>
      </w:r>
      <w:r w:rsidR="00EE5BEE" w:rsidRPr="00EE5BEE">
        <w:rPr>
          <w:rFonts w:ascii="Times New Roman" w:hAnsi="Times New Roman" w:cs="Times New Roman"/>
          <w:b/>
          <w:bCs/>
        </w:rPr>
        <w:t>spaces that students occupy when they are abroad</w:t>
      </w:r>
      <w:r w:rsidR="00EE5BEE">
        <w:rPr>
          <w:rFonts w:ascii="Times New Roman" w:hAnsi="Times New Roman" w:cs="Times New Roman"/>
        </w:rPr>
        <w:t xml:space="preserve"> and to craft a more complete social history that incorporates elements outside of the university structure. </w:t>
      </w:r>
    </w:p>
    <w:p w14:paraId="01802921" w14:textId="036A541D" w:rsidR="00EE5BEE" w:rsidRDefault="00EE5BEE" w:rsidP="00E72E4D">
      <w:pPr>
        <w:jc w:val="both"/>
        <w:rPr>
          <w:rFonts w:ascii="Times New Roman" w:hAnsi="Times New Roman" w:cs="Times New Roman"/>
        </w:rPr>
      </w:pPr>
      <w:r>
        <w:rPr>
          <w:rFonts w:ascii="Times New Roman" w:hAnsi="Times New Roman" w:cs="Times New Roman"/>
          <w:b/>
          <w:bCs/>
        </w:rPr>
        <w:t xml:space="preserve">-Language and Diplomacy: </w:t>
      </w:r>
      <w:r w:rsidRPr="00EE5BEE">
        <w:rPr>
          <w:rFonts w:ascii="Times New Roman" w:hAnsi="Times New Roman" w:cs="Times New Roman"/>
        </w:rPr>
        <w:t>Language instruction and acquisition are</w:t>
      </w:r>
      <w:r>
        <w:rPr>
          <w:rFonts w:ascii="Times New Roman" w:hAnsi="Times New Roman" w:cs="Times New Roman"/>
          <w:b/>
          <w:bCs/>
        </w:rPr>
        <w:t xml:space="preserve"> </w:t>
      </w:r>
      <w:r>
        <w:rPr>
          <w:rFonts w:ascii="Times New Roman" w:hAnsi="Times New Roman" w:cs="Times New Roman"/>
        </w:rPr>
        <w:t xml:space="preserve">also </w:t>
      </w:r>
      <w:r w:rsidRPr="00BE0C5F">
        <w:rPr>
          <w:rFonts w:ascii="Times New Roman" w:hAnsi="Times New Roman" w:cs="Times New Roman"/>
          <w:b/>
          <w:bCs/>
        </w:rPr>
        <w:t>political acts.</w:t>
      </w:r>
      <w:r>
        <w:rPr>
          <w:rFonts w:ascii="Times New Roman" w:hAnsi="Times New Roman" w:cs="Times New Roman"/>
        </w:rPr>
        <w:t xml:space="preserve"> They </w:t>
      </w:r>
      <w:r w:rsidR="00BA3C46">
        <w:rPr>
          <w:rFonts w:ascii="Times New Roman" w:hAnsi="Times New Roman" w:cs="Times New Roman"/>
        </w:rPr>
        <w:t xml:space="preserve">are deeply intertwined with the practices and strategies related to linguistic, cultural, and university diplomacy. Since the end of the nineteenth century, issues surrounding the politicization of language have appeared in different contexts, from imperial expansion to the bifurcated divide of the Cold War. </w:t>
      </w:r>
      <w:r w:rsidR="00BE0C5F">
        <w:rPr>
          <w:rFonts w:ascii="Times New Roman" w:hAnsi="Times New Roman" w:cs="Times New Roman"/>
        </w:rPr>
        <w:t>Considering the mobility of students who come from colonized territories, w</w:t>
      </w:r>
      <w:r w:rsidR="00BA3C46">
        <w:rPr>
          <w:rFonts w:ascii="Times New Roman" w:hAnsi="Times New Roman" w:cs="Times New Roman"/>
        </w:rPr>
        <w:t xml:space="preserve">hat does it mean for </w:t>
      </w:r>
      <w:r w:rsidR="00BE0C5F">
        <w:rPr>
          <w:rFonts w:ascii="Times New Roman" w:hAnsi="Times New Roman" w:cs="Times New Roman"/>
        </w:rPr>
        <w:t>these</w:t>
      </w:r>
      <w:r w:rsidR="00BA3C46">
        <w:rPr>
          <w:rFonts w:ascii="Times New Roman" w:hAnsi="Times New Roman" w:cs="Times New Roman"/>
        </w:rPr>
        <w:t xml:space="preserve"> student</w:t>
      </w:r>
      <w:r w:rsidR="00BE0C5F">
        <w:rPr>
          <w:rFonts w:ascii="Times New Roman" w:hAnsi="Times New Roman" w:cs="Times New Roman"/>
        </w:rPr>
        <w:t>s</w:t>
      </w:r>
      <w:r w:rsidR="00BA3C46">
        <w:rPr>
          <w:rFonts w:ascii="Times New Roman" w:hAnsi="Times New Roman" w:cs="Times New Roman"/>
        </w:rPr>
        <w:t xml:space="preserve"> to learn</w:t>
      </w:r>
      <w:r w:rsidR="00BE0C5F">
        <w:rPr>
          <w:rFonts w:ascii="Times New Roman" w:hAnsi="Times New Roman" w:cs="Times New Roman"/>
        </w:rPr>
        <w:t xml:space="preserve"> and study in</w:t>
      </w:r>
      <w:r w:rsidR="00BA3C46">
        <w:rPr>
          <w:rFonts w:ascii="Times New Roman" w:hAnsi="Times New Roman" w:cs="Times New Roman"/>
        </w:rPr>
        <w:t xml:space="preserve"> the language of the colonizer </w:t>
      </w:r>
      <w:r w:rsidR="00BE0C5F">
        <w:rPr>
          <w:rFonts w:ascii="Times New Roman" w:hAnsi="Times New Roman" w:cs="Times New Roman"/>
        </w:rPr>
        <w:t xml:space="preserve">as opposed to that of a different host state? Moreover, </w:t>
      </w:r>
      <w:r w:rsidR="00197B1A">
        <w:rPr>
          <w:rFonts w:ascii="Times New Roman" w:hAnsi="Times New Roman" w:cs="Times New Roman"/>
        </w:rPr>
        <w:t xml:space="preserve">this approach may </w:t>
      </w:r>
      <w:r w:rsidR="00BE0C5F">
        <w:rPr>
          <w:rFonts w:ascii="Times New Roman" w:hAnsi="Times New Roman" w:cs="Times New Roman"/>
        </w:rPr>
        <w:t xml:space="preserve">also consider how language can function as a tool of </w:t>
      </w:r>
      <w:r w:rsidR="00BE0C5F" w:rsidRPr="00BE0C5F">
        <w:rPr>
          <w:rFonts w:ascii="Times New Roman" w:hAnsi="Times New Roman" w:cs="Times New Roman"/>
          <w:b/>
          <w:bCs/>
        </w:rPr>
        <w:t>international relations.</w:t>
      </w:r>
      <w:r w:rsidR="00BE0C5F">
        <w:rPr>
          <w:rFonts w:ascii="Times New Roman" w:hAnsi="Times New Roman" w:cs="Times New Roman"/>
        </w:rPr>
        <w:t xml:space="preserve"> For example, during the Cold War, competition between two spheres of influence </w:t>
      </w:r>
      <w:r w:rsidR="0087495C">
        <w:rPr>
          <w:rFonts w:ascii="Times New Roman" w:hAnsi="Times New Roman" w:cs="Times New Roman"/>
        </w:rPr>
        <w:t xml:space="preserve">had a direct </w:t>
      </w:r>
      <w:r w:rsidR="00197B1A">
        <w:rPr>
          <w:rFonts w:ascii="Times New Roman" w:hAnsi="Times New Roman" w:cs="Times New Roman"/>
        </w:rPr>
        <w:t>effect</w:t>
      </w:r>
      <w:r w:rsidR="0087495C">
        <w:rPr>
          <w:rFonts w:ascii="Times New Roman" w:hAnsi="Times New Roman" w:cs="Times New Roman"/>
        </w:rPr>
        <w:t xml:space="preserve"> on</w:t>
      </w:r>
      <w:r w:rsidR="00BE0C5F">
        <w:rPr>
          <w:rFonts w:ascii="Times New Roman" w:hAnsi="Times New Roman" w:cs="Times New Roman"/>
        </w:rPr>
        <w:t xml:space="preserve"> academic mobility. How did the </w:t>
      </w:r>
      <w:r w:rsidR="0087495C">
        <w:rPr>
          <w:rFonts w:ascii="Times New Roman" w:hAnsi="Times New Roman" w:cs="Times New Roman"/>
        </w:rPr>
        <w:t xml:space="preserve">monopolization of student mobility fit into the </w:t>
      </w:r>
      <w:r w:rsidR="00BE0C5F">
        <w:rPr>
          <w:rFonts w:ascii="Times New Roman" w:hAnsi="Times New Roman" w:cs="Times New Roman"/>
        </w:rPr>
        <w:t>geopolitical rivalry between the two blocs</w:t>
      </w:r>
      <w:r w:rsidR="0087495C">
        <w:rPr>
          <w:rFonts w:ascii="Times New Roman" w:hAnsi="Times New Roman" w:cs="Times New Roman"/>
        </w:rPr>
        <w:t xml:space="preserve">, </w:t>
      </w:r>
      <w:r w:rsidR="00197B1A">
        <w:rPr>
          <w:rFonts w:ascii="Times New Roman" w:hAnsi="Times New Roman" w:cs="Times New Roman"/>
        </w:rPr>
        <w:t>especially</w:t>
      </w:r>
      <w:r w:rsidR="0087495C">
        <w:rPr>
          <w:rFonts w:ascii="Times New Roman" w:hAnsi="Times New Roman" w:cs="Times New Roman"/>
        </w:rPr>
        <w:t xml:space="preserve"> with respect to the role of language? More recently, the end of this rivalry and the rise of Europeanization have created new concerns and new practices related to language acquisition that have yet to be studied. </w:t>
      </w:r>
    </w:p>
    <w:p w14:paraId="66F438A7" w14:textId="77777777" w:rsidR="00E72E4D" w:rsidRDefault="00E72E4D" w:rsidP="00E72E4D">
      <w:pPr>
        <w:jc w:val="both"/>
        <w:rPr>
          <w:rFonts w:ascii="Times New Roman" w:hAnsi="Times New Roman" w:cs="Times New Roman"/>
        </w:rPr>
      </w:pPr>
    </w:p>
    <w:p w14:paraId="05B5BCD0" w14:textId="77777777" w:rsidR="00E72E4D" w:rsidRDefault="00E72E4D" w:rsidP="00E72E4D">
      <w:pPr>
        <w:pBdr>
          <w:bottom w:val="single" w:sz="6" w:space="1" w:color="auto"/>
        </w:pBdr>
        <w:jc w:val="both"/>
        <w:rPr>
          <w:rFonts w:ascii="Times New Roman" w:hAnsi="Times New Roman" w:cs="Times New Roman"/>
        </w:rPr>
      </w:pPr>
    </w:p>
    <w:p w14:paraId="13603548" w14:textId="77777777" w:rsidR="00E72E4D" w:rsidRDefault="00E72E4D" w:rsidP="00E72E4D">
      <w:pPr>
        <w:jc w:val="both"/>
        <w:rPr>
          <w:rFonts w:ascii="Times New Roman" w:hAnsi="Times New Roman" w:cs="Times New Roman"/>
        </w:rPr>
      </w:pPr>
    </w:p>
    <w:p w14:paraId="1DEBDE32" w14:textId="212985BF" w:rsidR="0087495C" w:rsidRDefault="0087495C" w:rsidP="00E72E4D">
      <w:pPr>
        <w:jc w:val="both"/>
        <w:rPr>
          <w:rFonts w:ascii="Times New Roman" w:hAnsi="Times New Roman" w:cs="Times New Roman"/>
        </w:rPr>
      </w:pPr>
      <w:r>
        <w:rPr>
          <w:rFonts w:ascii="Times New Roman" w:hAnsi="Times New Roman" w:cs="Times New Roman"/>
        </w:rPr>
        <w:t xml:space="preserve">Paper proposals should be in French or English and must relate to or expand upon one or more of these approaches. Please include a </w:t>
      </w:r>
      <w:r w:rsidR="00B5115F">
        <w:rPr>
          <w:rFonts w:ascii="Times New Roman" w:hAnsi="Times New Roman" w:cs="Times New Roman"/>
        </w:rPr>
        <w:t xml:space="preserve">short bio, </w:t>
      </w:r>
      <w:r>
        <w:rPr>
          <w:rFonts w:ascii="Times New Roman" w:hAnsi="Times New Roman" w:cs="Times New Roman"/>
        </w:rPr>
        <w:t>working title</w:t>
      </w:r>
      <w:r w:rsidR="00197B1A">
        <w:rPr>
          <w:rFonts w:ascii="Times New Roman" w:hAnsi="Times New Roman" w:cs="Times New Roman"/>
        </w:rPr>
        <w:t>,</w:t>
      </w:r>
      <w:r>
        <w:rPr>
          <w:rFonts w:ascii="Times New Roman" w:hAnsi="Times New Roman" w:cs="Times New Roman"/>
        </w:rPr>
        <w:t xml:space="preserve"> and a brief summary of your topic, including your methodology and/or the sources used in your project</w:t>
      </w:r>
      <w:r w:rsidR="00B5115F">
        <w:rPr>
          <w:rFonts w:ascii="Times New Roman" w:hAnsi="Times New Roman" w:cs="Times New Roman"/>
        </w:rPr>
        <w:t xml:space="preserve"> (2,000 characters max). </w:t>
      </w:r>
    </w:p>
    <w:p w14:paraId="63FBC5F2" w14:textId="356F6611" w:rsidR="0087495C" w:rsidRDefault="00B5115F" w:rsidP="00E72E4D">
      <w:pPr>
        <w:jc w:val="both"/>
        <w:rPr>
          <w:rFonts w:ascii="Times New Roman" w:hAnsi="Times New Roman" w:cs="Times New Roman"/>
          <w:color w:val="000000"/>
          <w:u w:color="0000E9"/>
        </w:rPr>
      </w:pPr>
      <w:r>
        <w:rPr>
          <w:rFonts w:ascii="Times New Roman" w:hAnsi="Times New Roman" w:cs="Times New Roman"/>
        </w:rPr>
        <w:t>Proposals are due</w:t>
      </w:r>
      <w:r w:rsidR="0087495C">
        <w:rPr>
          <w:rFonts w:ascii="Times New Roman" w:hAnsi="Times New Roman" w:cs="Times New Roman"/>
        </w:rPr>
        <w:t xml:space="preserve"> January </w:t>
      </w:r>
      <w:r w:rsidR="00EC6DD4">
        <w:rPr>
          <w:rFonts w:ascii="Times New Roman" w:hAnsi="Times New Roman" w:cs="Times New Roman"/>
        </w:rPr>
        <w:t>20</w:t>
      </w:r>
      <w:r w:rsidR="0087495C">
        <w:rPr>
          <w:rFonts w:ascii="Times New Roman" w:hAnsi="Times New Roman" w:cs="Times New Roman"/>
        </w:rPr>
        <w:t>, 2026</w:t>
      </w:r>
      <w:r>
        <w:rPr>
          <w:rFonts w:ascii="Times New Roman" w:hAnsi="Times New Roman" w:cs="Times New Roman"/>
        </w:rPr>
        <w:t>. Please address any questions and all submissions</w:t>
      </w:r>
      <w:r w:rsidR="0087495C">
        <w:rPr>
          <w:rFonts w:ascii="Times New Roman" w:hAnsi="Times New Roman" w:cs="Times New Roman"/>
        </w:rPr>
        <w:t xml:space="preserve"> to  </w:t>
      </w:r>
      <w:hyperlink r:id="rId6" w:history="1">
        <w:r w:rsidR="0087495C" w:rsidRPr="00312038">
          <w:rPr>
            <w:rStyle w:val="Lienhypertexte"/>
            <w:rFonts w:ascii="Times New Roman" w:hAnsi="Times New Roman" w:cs="Times New Roman"/>
            <w:b/>
            <w:bCs/>
          </w:rPr>
          <w:t>langstudmob.2026@gmail.com</w:t>
        </w:r>
      </w:hyperlink>
      <w:r w:rsidR="0087495C">
        <w:rPr>
          <w:rFonts w:ascii="Times New Roman" w:hAnsi="Times New Roman" w:cs="Times New Roman"/>
          <w:color w:val="000000"/>
          <w:u w:color="0000E9"/>
        </w:rPr>
        <w:t xml:space="preserve">.  </w:t>
      </w:r>
    </w:p>
    <w:p w14:paraId="107BAD4C" w14:textId="77777777" w:rsidR="00B5115F" w:rsidRDefault="00B5115F" w:rsidP="00E72E4D">
      <w:pPr>
        <w:jc w:val="both"/>
        <w:rPr>
          <w:rFonts w:ascii="Times New Roman" w:hAnsi="Times New Roman" w:cs="Times New Roman"/>
          <w:color w:val="000000"/>
          <w:u w:color="0000E9"/>
        </w:rPr>
      </w:pPr>
    </w:p>
    <w:p w14:paraId="7D3FFA64" w14:textId="0E5E9BDE" w:rsidR="00B5115F" w:rsidRPr="00B5115F" w:rsidRDefault="00B5115F" w:rsidP="00E72E4D">
      <w:pPr>
        <w:autoSpaceDE w:val="0"/>
        <w:autoSpaceDN w:val="0"/>
        <w:adjustRightInd w:val="0"/>
        <w:spacing w:after="0" w:line="240" w:lineRule="auto"/>
        <w:jc w:val="both"/>
        <w:rPr>
          <w:rFonts w:ascii="Times New Roman" w:eastAsia="Aptos" w:hAnsi="Times New Roman" w:cs="Times New Roman"/>
          <w:color w:val="000000"/>
          <w:kern w:val="0"/>
          <w:u w:color="000000"/>
          <w14:ligatures w14:val="none"/>
        </w:rPr>
      </w:pPr>
      <w:r w:rsidRPr="00B5115F">
        <w:rPr>
          <w:rFonts w:ascii="Times New Roman" w:eastAsia="Aptos" w:hAnsi="Times New Roman" w:cs="Times New Roman"/>
          <w:b/>
          <w:bCs/>
          <w:color w:val="000000"/>
          <w:kern w:val="0"/>
          <w:u w:val="single" w:color="000000"/>
          <w14:ligatures w14:val="none"/>
        </w:rPr>
        <w:t>Organizing Committee :</w:t>
      </w:r>
    </w:p>
    <w:p w14:paraId="1A75CE62" w14:textId="74665690" w:rsidR="00B5115F" w:rsidRPr="00B5115F" w:rsidRDefault="00B5115F" w:rsidP="00E72E4D">
      <w:pPr>
        <w:autoSpaceDE w:val="0"/>
        <w:autoSpaceDN w:val="0"/>
        <w:adjustRightInd w:val="0"/>
        <w:spacing w:after="0" w:line="240" w:lineRule="auto"/>
        <w:jc w:val="both"/>
        <w:rPr>
          <w:rFonts w:ascii="Times New Roman" w:eastAsia="Aptos" w:hAnsi="Times New Roman" w:cs="Times New Roman"/>
          <w:color w:val="000000"/>
          <w:kern w:val="0"/>
          <w:u w:color="000000"/>
          <w14:ligatures w14:val="none"/>
        </w:rPr>
      </w:pPr>
      <w:r w:rsidRPr="00B5115F">
        <w:rPr>
          <w:rFonts w:ascii="Times New Roman" w:eastAsia="Aptos" w:hAnsi="Times New Roman" w:cs="Times New Roman"/>
          <w:color w:val="000000"/>
          <w:kern w:val="0"/>
          <w:u w:color="000000"/>
          <w14:ligatures w14:val="none"/>
        </w:rPr>
        <w:t>Sara Legrandjacques (Sorbonne Université / associated researcher IHMC)</w:t>
      </w:r>
    </w:p>
    <w:p w14:paraId="347B496A" w14:textId="77777777" w:rsidR="00B5115F" w:rsidRPr="00B5115F" w:rsidRDefault="00B5115F" w:rsidP="00E72E4D">
      <w:pPr>
        <w:autoSpaceDE w:val="0"/>
        <w:autoSpaceDN w:val="0"/>
        <w:adjustRightInd w:val="0"/>
        <w:spacing w:after="0" w:line="240" w:lineRule="auto"/>
        <w:jc w:val="both"/>
        <w:rPr>
          <w:rFonts w:ascii="Times New Roman" w:eastAsia="Aptos" w:hAnsi="Times New Roman" w:cs="Times New Roman"/>
          <w:color w:val="000000"/>
          <w:kern w:val="0"/>
          <w:u w:color="000000"/>
          <w14:ligatures w14:val="none"/>
        </w:rPr>
      </w:pPr>
      <w:r w:rsidRPr="00B5115F">
        <w:rPr>
          <w:rFonts w:ascii="Times New Roman" w:eastAsia="Aptos" w:hAnsi="Times New Roman" w:cs="Times New Roman"/>
          <w:color w:val="000000"/>
          <w:kern w:val="0"/>
          <w:u w:color="000000"/>
          <w14:ligatures w14:val="none"/>
        </w:rPr>
        <w:t>Damiano Matasci (Université de Genève)</w:t>
      </w:r>
    </w:p>
    <w:p w14:paraId="51E991FE" w14:textId="77777777" w:rsidR="00B5115F" w:rsidRDefault="00B5115F" w:rsidP="00E72E4D">
      <w:pPr>
        <w:autoSpaceDE w:val="0"/>
        <w:autoSpaceDN w:val="0"/>
        <w:adjustRightInd w:val="0"/>
        <w:spacing w:after="0" w:line="240" w:lineRule="auto"/>
        <w:jc w:val="both"/>
        <w:rPr>
          <w:rFonts w:ascii="Times New Roman" w:eastAsia="Aptos" w:hAnsi="Times New Roman" w:cs="Times New Roman"/>
          <w:color w:val="000000"/>
          <w:kern w:val="0"/>
          <w:u w:color="000000"/>
          <w14:ligatures w14:val="none"/>
        </w:rPr>
      </w:pPr>
      <w:r w:rsidRPr="00B5115F">
        <w:rPr>
          <w:rFonts w:ascii="Times New Roman" w:eastAsia="Aptos" w:hAnsi="Times New Roman" w:cs="Times New Roman"/>
          <w:color w:val="000000"/>
          <w:kern w:val="0"/>
          <w:u w:color="000000"/>
          <w14:ligatures w14:val="none"/>
        </w:rPr>
        <w:t>Jules Siran (Université de Genève)</w:t>
      </w:r>
    </w:p>
    <w:p w14:paraId="659A4DBD" w14:textId="35567C41" w:rsidR="00B5115F" w:rsidRPr="00B5115F" w:rsidRDefault="00B5115F" w:rsidP="00E72E4D">
      <w:pPr>
        <w:autoSpaceDE w:val="0"/>
        <w:autoSpaceDN w:val="0"/>
        <w:adjustRightInd w:val="0"/>
        <w:spacing w:after="0" w:line="240" w:lineRule="auto"/>
        <w:jc w:val="both"/>
        <w:rPr>
          <w:rFonts w:ascii="Times New Roman" w:eastAsia="Aptos" w:hAnsi="Times New Roman" w:cs="Times New Roman"/>
          <w:color w:val="000000"/>
          <w:kern w:val="0"/>
          <w:u w:color="000000"/>
          <w14:ligatures w14:val="none"/>
        </w:rPr>
      </w:pPr>
      <w:r w:rsidRPr="00B5115F">
        <w:rPr>
          <w:rFonts w:ascii="Times New Roman" w:eastAsia="Aptos" w:hAnsi="Times New Roman" w:cs="Times New Roman"/>
          <w:color w:val="000000"/>
          <w:kern w:val="0"/>
          <w:u w:color="000000"/>
          <w14:ligatures w14:val="none"/>
        </w:rPr>
        <w:t>Annalise Walkama (University of Idaho)</w:t>
      </w:r>
    </w:p>
    <w:p w14:paraId="593C4B98" w14:textId="77777777" w:rsidR="00B5115F" w:rsidRDefault="00B5115F" w:rsidP="00E72E4D">
      <w:pPr>
        <w:jc w:val="both"/>
        <w:rPr>
          <w:rFonts w:ascii="Times New Roman" w:hAnsi="Times New Roman" w:cs="Times New Roman"/>
          <w:color w:val="000000"/>
          <w:u w:color="0000E9"/>
        </w:rPr>
      </w:pPr>
    </w:p>
    <w:p w14:paraId="3784FAB8" w14:textId="771E3B19" w:rsidR="00F25E66" w:rsidRPr="00217EE2" w:rsidRDefault="00426D77" w:rsidP="00F86D37">
      <w:pPr>
        <w:spacing w:after="0" w:line="240" w:lineRule="auto"/>
        <w:jc w:val="both"/>
        <w:rPr>
          <w:rFonts w:ascii="Times New Roman" w:hAnsi="Times New Roman" w:cs="Times New Roman"/>
          <w:b/>
          <w:bCs/>
          <w:u w:val="single"/>
        </w:rPr>
      </w:pPr>
      <w:r>
        <w:rPr>
          <w:rFonts w:ascii="Times New Roman" w:hAnsi="Times New Roman" w:cs="Times New Roman"/>
          <w:b/>
          <w:bCs/>
          <w:color w:val="000000"/>
          <w:u w:val="single" w:color="0000E9"/>
        </w:rPr>
        <w:t xml:space="preserve">Scientific </w:t>
      </w:r>
      <w:r w:rsidR="00DC4C3C">
        <w:rPr>
          <w:rFonts w:ascii="Times New Roman" w:hAnsi="Times New Roman" w:cs="Times New Roman"/>
          <w:b/>
          <w:bCs/>
          <w:color w:val="000000"/>
          <w:u w:val="single" w:color="0000E9"/>
        </w:rPr>
        <w:t>Advisory</w:t>
      </w:r>
      <w:r w:rsidR="00217EE2" w:rsidRPr="00217EE2">
        <w:rPr>
          <w:rFonts w:ascii="Times New Roman" w:hAnsi="Times New Roman" w:cs="Times New Roman"/>
          <w:b/>
          <w:bCs/>
          <w:color w:val="000000"/>
          <w:u w:val="single" w:color="0000E9"/>
        </w:rPr>
        <w:t xml:space="preserve"> Committee : </w:t>
      </w:r>
    </w:p>
    <w:p w14:paraId="5565C2B4" w14:textId="7F8978EA" w:rsidR="00712D45" w:rsidRPr="00DA53D4" w:rsidRDefault="00712D45" w:rsidP="00F86D37">
      <w:pPr>
        <w:pStyle w:val="Titre1"/>
        <w:shd w:val="clear" w:color="auto" w:fill="FFFFFF"/>
        <w:spacing w:before="0" w:after="0" w:line="240" w:lineRule="auto"/>
        <w:jc w:val="both"/>
        <w:rPr>
          <w:rFonts w:ascii="Times New Roman" w:hAnsi="Times New Roman" w:cs="Times New Roman"/>
          <w:color w:val="000000" w:themeColor="text1"/>
          <w:sz w:val="24"/>
          <w:szCs w:val="24"/>
        </w:rPr>
      </w:pPr>
      <w:r w:rsidRPr="00204F6D">
        <w:rPr>
          <w:rFonts w:ascii="Times New Roman" w:hAnsi="Times New Roman" w:cs="Times New Roman"/>
          <w:color w:val="000000" w:themeColor="text1"/>
          <w:sz w:val="24"/>
          <w:szCs w:val="24"/>
        </w:rPr>
        <w:t>Antonin Durand (Sorbonne-Université), Justine Faure (Université de Lille), Matthieu Gillabert (Université de Fribourg), Irène Herrmann (Université de Genève), Rita Hofstetter (Université de Genève), Janet Horne (University of Virginia), Sandrine Kott (Université de Genève), Daniel Laqua (Northumbria</w:t>
      </w:r>
      <w:r>
        <w:rPr>
          <w:rFonts w:ascii="Times New Roman" w:hAnsi="Times New Roman" w:cs="Times New Roman"/>
          <w:color w:val="000000" w:themeColor="text1"/>
          <w:sz w:val="24"/>
          <w:szCs w:val="24"/>
        </w:rPr>
        <w:t xml:space="preserve"> University</w:t>
      </w:r>
      <w:r w:rsidRPr="00204F6D">
        <w:rPr>
          <w:rFonts w:ascii="Times New Roman" w:hAnsi="Times New Roman" w:cs="Times New Roman"/>
          <w:color w:val="000000" w:themeColor="text1"/>
          <w:sz w:val="24"/>
          <w:szCs w:val="24"/>
        </w:rPr>
        <w:t>), Johan Östling (Lund</w:t>
      </w:r>
      <w:r>
        <w:rPr>
          <w:rFonts w:ascii="Times New Roman" w:hAnsi="Times New Roman" w:cs="Times New Roman"/>
          <w:color w:val="000000" w:themeColor="text1"/>
          <w:sz w:val="24"/>
          <w:szCs w:val="24"/>
        </w:rPr>
        <w:t xml:space="preserve"> University</w:t>
      </w:r>
      <w:r w:rsidRPr="00204F6D">
        <w:rPr>
          <w:rFonts w:ascii="Times New Roman" w:hAnsi="Times New Roman" w:cs="Times New Roman"/>
          <w:color w:val="000000" w:themeColor="text1"/>
          <w:sz w:val="24"/>
          <w:szCs w:val="24"/>
        </w:rPr>
        <w:t>), Mikuláš Pešta (Charles University, Prague), Pierre Singaravélou (Université Paris-1), Ludovic Tournès (Université de Genève).</w:t>
      </w:r>
    </w:p>
    <w:p w14:paraId="4248D7B6" w14:textId="77777777" w:rsidR="00F25E66" w:rsidRDefault="00F25E66" w:rsidP="00E72E4D">
      <w:pPr>
        <w:jc w:val="both"/>
        <w:rPr>
          <w:rFonts w:ascii="Times New Roman" w:hAnsi="Times New Roman" w:cs="Times New Roman"/>
        </w:rPr>
      </w:pPr>
    </w:p>
    <w:p w14:paraId="786596D7" w14:textId="4B242C38" w:rsidR="00B2465F" w:rsidRDefault="00B2465F">
      <w:pPr>
        <w:rPr>
          <w:rFonts w:ascii="Times New Roman" w:hAnsi="Times New Roman" w:cs="Times New Roman"/>
          <w:b/>
          <w:bCs/>
        </w:rPr>
      </w:pPr>
      <w:r>
        <w:rPr>
          <w:rFonts w:ascii="Times New Roman" w:hAnsi="Times New Roman" w:cs="Times New Roman"/>
          <w:b/>
          <w:bCs/>
        </w:rPr>
        <w:br w:type="page"/>
      </w:r>
    </w:p>
    <w:p w14:paraId="2160690F" w14:textId="09A0B532" w:rsidR="00B2465F" w:rsidRPr="00EF62B2" w:rsidRDefault="00B2465F" w:rsidP="00B2465F">
      <w:pPr>
        <w:autoSpaceDE w:val="0"/>
        <w:autoSpaceDN w:val="0"/>
        <w:adjustRightInd w:val="0"/>
        <w:rPr>
          <w:rFonts w:ascii="Times New Roman" w:hAnsi="Times New Roman" w:cs="Times New Roman"/>
          <w:color w:val="000000"/>
          <w:u w:color="000000"/>
        </w:rPr>
      </w:pPr>
      <w:r w:rsidRPr="00EF62B2">
        <w:rPr>
          <w:rFonts w:ascii="Times New Roman" w:hAnsi="Times New Roman" w:cs="Times New Roman"/>
          <w:b/>
          <w:bCs/>
          <w:color w:val="000000"/>
          <w:u w:val="single" w:color="000000"/>
        </w:rPr>
        <w:lastRenderedPageBreak/>
        <w:t>Bibliograph</w:t>
      </w:r>
      <w:r>
        <w:rPr>
          <w:rFonts w:ascii="Times New Roman" w:hAnsi="Times New Roman" w:cs="Times New Roman"/>
          <w:b/>
          <w:bCs/>
          <w:color w:val="000000"/>
          <w:u w:val="single" w:color="000000"/>
        </w:rPr>
        <w:t>y</w:t>
      </w:r>
    </w:p>
    <w:p w14:paraId="0AAB21F8" w14:textId="7553E5E6" w:rsidR="00B2465F" w:rsidRPr="00B2465F" w:rsidRDefault="00B2465F" w:rsidP="00B2465F">
      <w:pPr>
        <w:autoSpaceDE w:val="0"/>
        <w:autoSpaceDN w:val="0"/>
        <w:adjustRightInd w:val="0"/>
        <w:spacing w:after="213"/>
        <w:jc w:val="both"/>
        <w:rPr>
          <w:rFonts w:ascii="Times New Roman" w:hAnsi="Times New Roman" w:cs="Times New Roman"/>
          <w:color w:val="000000"/>
          <w:sz w:val="20"/>
          <w:szCs w:val="20"/>
          <w:u w:color="000000"/>
        </w:rPr>
      </w:pPr>
    </w:p>
    <w:p w14:paraId="6242DF70"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Adam, Thomas, Lerg, Charlotte, « Diplomacy on Campus: the Political Dimensions of Academic Exchange in the North Atlantic », </w:t>
      </w:r>
      <w:r w:rsidRPr="00B2465F">
        <w:rPr>
          <w:rFonts w:ascii="Times New Roman" w:hAnsi="Times New Roman" w:cs="Times New Roman"/>
          <w:i/>
          <w:iCs/>
          <w:color w:val="000000"/>
          <w:sz w:val="20"/>
          <w:szCs w:val="20"/>
          <w:u w:color="000000"/>
        </w:rPr>
        <w:t>Journal of Transatlantic Studies</w:t>
      </w:r>
      <w:r w:rsidRPr="00B2465F">
        <w:rPr>
          <w:rFonts w:ascii="Times New Roman" w:hAnsi="Times New Roman" w:cs="Times New Roman"/>
          <w:color w:val="000000"/>
          <w:sz w:val="20"/>
          <w:szCs w:val="20"/>
          <w:u w:color="000000"/>
        </w:rPr>
        <w:t>, 13:4, 2015, 299-310.</w:t>
      </w:r>
    </w:p>
    <w:p w14:paraId="3A82BC4E"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Cattan, Anna, « Genre et mobilité étudiante en Europe », </w:t>
      </w:r>
      <w:r w:rsidRPr="00B2465F">
        <w:rPr>
          <w:rFonts w:ascii="Times New Roman" w:hAnsi="Times New Roman" w:cs="Times New Roman"/>
          <w:i/>
          <w:iCs/>
          <w:color w:val="000000"/>
          <w:sz w:val="20"/>
          <w:szCs w:val="20"/>
          <w:u w:color="000000"/>
        </w:rPr>
        <w:t>Espace, populations et sociétés</w:t>
      </w:r>
      <w:r w:rsidRPr="00B2465F">
        <w:rPr>
          <w:rFonts w:ascii="Times New Roman" w:hAnsi="Times New Roman" w:cs="Times New Roman"/>
          <w:color w:val="000000"/>
          <w:sz w:val="20"/>
          <w:szCs w:val="20"/>
          <w:u w:color="000000"/>
        </w:rPr>
        <w:t>, 1, 2004, p. 15-27.</w:t>
      </w:r>
    </w:p>
    <w:p w14:paraId="447ED666"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Durand, Antonin (dir.), </w:t>
      </w:r>
      <w:r w:rsidRPr="00B2465F">
        <w:rPr>
          <w:rFonts w:ascii="Times New Roman" w:hAnsi="Times New Roman" w:cs="Times New Roman"/>
          <w:i/>
          <w:iCs/>
          <w:color w:val="000000"/>
          <w:sz w:val="20"/>
          <w:szCs w:val="20"/>
          <w:u w:color="000000"/>
        </w:rPr>
        <w:t>Les voyages forment la jeunesse. Les boursières scientifiques David-Weill à la découverte du monde (1910-1939)</w:t>
      </w:r>
      <w:r w:rsidRPr="00B2465F">
        <w:rPr>
          <w:rFonts w:ascii="Times New Roman" w:hAnsi="Times New Roman" w:cs="Times New Roman"/>
          <w:color w:val="000000"/>
          <w:sz w:val="20"/>
          <w:szCs w:val="20"/>
          <w:u w:color="000000"/>
        </w:rPr>
        <w:t>, Strasbourg, Presses universitaires de Strasbourg, 2020.</w:t>
      </w:r>
    </w:p>
    <w:p w14:paraId="50F3EDA1"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Fei, Chen, « Disassembling Empire: Revolutionary Chinese Students in Japan and Discourses on Provincial Independence and Local Self-Government », </w:t>
      </w:r>
      <w:r w:rsidRPr="00B2465F">
        <w:rPr>
          <w:rFonts w:ascii="Times New Roman" w:hAnsi="Times New Roman" w:cs="Times New Roman"/>
          <w:i/>
          <w:iCs/>
          <w:color w:val="000000"/>
          <w:sz w:val="20"/>
          <w:szCs w:val="20"/>
          <w:u w:color="000000"/>
        </w:rPr>
        <w:t>Journal of Asian History</w:t>
      </w:r>
      <w:r w:rsidRPr="00B2465F">
        <w:rPr>
          <w:rFonts w:ascii="Times New Roman" w:hAnsi="Times New Roman" w:cs="Times New Roman"/>
          <w:color w:val="000000"/>
          <w:sz w:val="20"/>
          <w:szCs w:val="20"/>
          <w:u w:color="000000"/>
        </w:rPr>
        <w:t xml:space="preserve"> 51:2, 2017, p. 283-315.</w:t>
      </w:r>
    </w:p>
    <w:p w14:paraId="38F02CE1"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Gillabert, Matthieu, Lesnykh, Lidia, Pešta, Mikuláš, « A Cold War International Organization Sliding Eastwards: Tom Madden and the Prague-Based International Union of Students » </w:t>
      </w:r>
      <w:r w:rsidRPr="00B2465F">
        <w:rPr>
          <w:rFonts w:ascii="Times New Roman" w:hAnsi="Times New Roman" w:cs="Times New Roman"/>
          <w:i/>
          <w:iCs/>
          <w:color w:val="000000"/>
          <w:sz w:val="20"/>
          <w:szCs w:val="20"/>
          <w:u w:color="000000"/>
        </w:rPr>
        <w:t xml:space="preserve">in </w:t>
      </w:r>
      <w:r w:rsidRPr="00B2465F">
        <w:rPr>
          <w:rFonts w:ascii="Times New Roman" w:hAnsi="Times New Roman" w:cs="Times New Roman"/>
          <w:color w:val="000000"/>
          <w:sz w:val="20"/>
          <w:szCs w:val="20"/>
          <w:u w:color="000000"/>
        </w:rPr>
        <w:t xml:space="preserve">Sandrine Kott, Eva-Maria Muschik, Elisabeth Roehrlich (dir)., </w:t>
      </w:r>
      <w:r w:rsidRPr="00B2465F">
        <w:rPr>
          <w:rFonts w:ascii="Times New Roman" w:hAnsi="Times New Roman" w:cs="Times New Roman"/>
          <w:i/>
          <w:iCs/>
          <w:color w:val="000000"/>
          <w:sz w:val="20"/>
          <w:szCs w:val="20"/>
          <w:u w:color="000000"/>
        </w:rPr>
        <w:t>International Organizations and the Cold War</w:t>
      </w:r>
      <w:r w:rsidRPr="00B2465F">
        <w:rPr>
          <w:rFonts w:ascii="Times New Roman" w:hAnsi="Times New Roman" w:cs="Times New Roman"/>
          <w:color w:val="000000"/>
          <w:sz w:val="20"/>
          <w:szCs w:val="20"/>
          <w:u w:color="000000"/>
        </w:rPr>
        <w:t>, Londres, Bloomsbury, 2025, p. 131-144.</w:t>
      </w:r>
    </w:p>
    <w:p w14:paraId="70F68316"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31530"/>
          <w:sz w:val="20"/>
          <w:szCs w:val="20"/>
          <w:u w:color="000000"/>
        </w:rPr>
        <w:t>Haikola, Karl and Östling, Johan. « Review Essay: The Europeanisation of the Universities: An Emerging Topic of Historical Research », </w:t>
      </w:r>
      <w:r w:rsidRPr="00B2465F">
        <w:rPr>
          <w:rFonts w:ascii="Times New Roman" w:hAnsi="Times New Roman" w:cs="Times New Roman"/>
          <w:i/>
          <w:iCs/>
          <w:color w:val="031530"/>
          <w:sz w:val="20"/>
          <w:szCs w:val="20"/>
          <w:u w:color="000000"/>
        </w:rPr>
        <w:t>History of Intellectual Culture</w:t>
      </w:r>
      <w:r w:rsidRPr="00B2465F">
        <w:rPr>
          <w:rFonts w:ascii="Times New Roman" w:hAnsi="Times New Roman" w:cs="Times New Roman"/>
          <w:color w:val="031530"/>
          <w:sz w:val="20"/>
          <w:szCs w:val="20"/>
          <w:u w:color="000000"/>
        </w:rPr>
        <w:t xml:space="preserve"> 4, 2025, p. 237-258.</w:t>
      </w:r>
      <w:r w:rsidRPr="00B2465F">
        <w:rPr>
          <w:rFonts w:ascii="Times New Roman" w:hAnsi="Times New Roman" w:cs="Times New Roman"/>
          <w:color w:val="000000"/>
          <w:sz w:val="20"/>
          <w:szCs w:val="20"/>
          <w:u w:color="000000"/>
        </w:rPr>
        <w:t xml:space="preserve"> </w:t>
      </w:r>
    </w:p>
    <w:p w14:paraId="3C0FCA8B"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Harrell, Paula S</w:t>
      </w:r>
      <w:r w:rsidRPr="00B2465F">
        <w:rPr>
          <w:rFonts w:ascii="Times New Roman" w:hAnsi="Times New Roman" w:cs="Times New Roman"/>
          <w:i/>
          <w:iCs/>
          <w:color w:val="000000"/>
          <w:sz w:val="20"/>
          <w:szCs w:val="20"/>
          <w:u w:color="000000"/>
        </w:rPr>
        <w:t>. Sowing the Seeds of Change: Chinese Students, Japanese Teachers, 1895–1905</w:t>
      </w:r>
      <w:r w:rsidRPr="00B2465F">
        <w:rPr>
          <w:rFonts w:ascii="Times New Roman" w:hAnsi="Times New Roman" w:cs="Times New Roman"/>
          <w:color w:val="000000"/>
          <w:sz w:val="20"/>
          <w:szCs w:val="20"/>
          <w:u w:color="000000"/>
        </w:rPr>
        <w:t>.Stanford, CA: Stanford University Press, 1992.</w:t>
      </w:r>
    </w:p>
    <w:p w14:paraId="44DA1189"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Karady, Victor, « La migration internationale d’étudiants en Europe, 1890-1940 », </w:t>
      </w:r>
      <w:r w:rsidRPr="00B2465F">
        <w:rPr>
          <w:rFonts w:ascii="Times New Roman" w:hAnsi="Times New Roman" w:cs="Times New Roman"/>
          <w:i/>
          <w:iCs/>
          <w:color w:val="000000"/>
          <w:sz w:val="20"/>
          <w:szCs w:val="20"/>
          <w:u w:color="000000"/>
        </w:rPr>
        <w:t>Actes de la recherche en sciences sociales</w:t>
      </w:r>
      <w:r w:rsidRPr="00B2465F">
        <w:rPr>
          <w:rFonts w:ascii="Times New Roman" w:hAnsi="Times New Roman" w:cs="Times New Roman"/>
          <w:color w:val="000000"/>
          <w:sz w:val="20"/>
          <w:szCs w:val="20"/>
          <w:u w:color="000000"/>
        </w:rPr>
        <w:t>, 145, 2002, p. 47-60. `</w:t>
      </w:r>
    </w:p>
    <w:p w14:paraId="7CDF82D7"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Katsakioris, Constantin (dir.), </w:t>
      </w:r>
      <w:r w:rsidRPr="00B2465F">
        <w:rPr>
          <w:rFonts w:ascii="Times New Roman" w:hAnsi="Times New Roman" w:cs="Times New Roman"/>
          <w:i/>
          <w:iCs/>
          <w:color w:val="000000"/>
          <w:sz w:val="20"/>
          <w:szCs w:val="20"/>
          <w:u w:color="000000"/>
        </w:rPr>
        <w:t>L’Est socialiste et le Sud : Coopération éducative et formation des élites</w:t>
      </w:r>
      <w:r w:rsidRPr="00B2465F">
        <w:rPr>
          <w:rFonts w:ascii="Times New Roman" w:hAnsi="Times New Roman" w:cs="Times New Roman"/>
          <w:color w:val="000000"/>
          <w:sz w:val="20"/>
          <w:szCs w:val="20"/>
          <w:u w:color="000000"/>
        </w:rPr>
        <w:t xml:space="preserve"> (dossier spécial), </w:t>
      </w:r>
      <w:r w:rsidRPr="00B2465F">
        <w:rPr>
          <w:rFonts w:ascii="Times New Roman" w:hAnsi="Times New Roman" w:cs="Times New Roman"/>
          <w:i/>
          <w:iCs/>
          <w:color w:val="000000"/>
          <w:sz w:val="20"/>
          <w:szCs w:val="20"/>
          <w:u w:color="000000"/>
        </w:rPr>
        <w:t>Cahiers du monde russe</w:t>
      </w:r>
      <w:r w:rsidRPr="00B2465F">
        <w:rPr>
          <w:rFonts w:ascii="Times New Roman" w:hAnsi="Times New Roman" w:cs="Times New Roman"/>
          <w:color w:val="000000"/>
          <w:sz w:val="20"/>
          <w:szCs w:val="20"/>
          <w:u w:color="000000"/>
        </w:rPr>
        <w:t>, 63:3-4, 2022.</w:t>
      </w:r>
    </w:p>
    <w:p w14:paraId="25AB7CA6"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Kévonian, Dzovinar, Tronchet Guillaume (dir.), </w:t>
      </w:r>
      <w:r w:rsidRPr="00B2465F">
        <w:rPr>
          <w:rFonts w:ascii="Times New Roman" w:hAnsi="Times New Roman" w:cs="Times New Roman"/>
          <w:i/>
          <w:iCs/>
          <w:color w:val="000000"/>
          <w:sz w:val="20"/>
          <w:szCs w:val="20"/>
          <w:u w:color="000000"/>
        </w:rPr>
        <w:t>La Babel étudiante : la Cité internationale universitaire de Paris (1920-1950)</w:t>
      </w:r>
      <w:r w:rsidRPr="00B2465F">
        <w:rPr>
          <w:rFonts w:ascii="Times New Roman" w:hAnsi="Times New Roman" w:cs="Times New Roman"/>
          <w:color w:val="000000"/>
          <w:sz w:val="20"/>
          <w:szCs w:val="20"/>
          <w:u w:color="000000"/>
        </w:rPr>
        <w:t>, Rennes, Presses universitaires de Rennes, 2013.</w:t>
      </w:r>
    </w:p>
    <w:p w14:paraId="3ED9C099"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Kévonian, Dzovinar, Tronchet Guillaume (dir.), </w:t>
      </w:r>
      <w:r w:rsidRPr="00B2465F">
        <w:rPr>
          <w:rFonts w:ascii="Times New Roman" w:hAnsi="Times New Roman" w:cs="Times New Roman"/>
          <w:i/>
          <w:iCs/>
          <w:color w:val="000000"/>
          <w:sz w:val="20"/>
          <w:szCs w:val="20"/>
          <w:u w:color="000000"/>
        </w:rPr>
        <w:t>Le Campus monde : la Cité internationale universitaire de Paris de 1945 aux années 2000</w:t>
      </w:r>
      <w:r w:rsidRPr="00B2465F">
        <w:rPr>
          <w:rFonts w:ascii="Times New Roman" w:hAnsi="Times New Roman" w:cs="Times New Roman"/>
          <w:color w:val="000000"/>
          <w:sz w:val="20"/>
          <w:szCs w:val="20"/>
          <w:u w:color="000000"/>
        </w:rPr>
        <w:t>, Rennes, Presses universitaires de Rennes, 2022.</w:t>
      </w:r>
    </w:p>
    <w:p w14:paraId="42BE94AF"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Kott, Sandrine. </w:t>
      </w:r>
      <w:r w:rsidRPr="00B2465F">
        <w:rPr>
          <w:rFonts w:ascii="Times New Roman" w:hAnsi="Times New Roman" w:cs="Times New Roman"/>
          <w:i/>
          <w:iCs/>
          <w:color w:val="000000"/>
          <w:sz w:val="20"/>
          <w:szCs w:val="20"/>
          <w:u w:color="000000"/>
        </w:rPr>
        <w:t>Organiser le monde : Une autre histoire de la guerre froide.</w:t>
      </w:r>
      <w:r w:rsidRPr="00B2465F">
        <w:rPr>
          <w:rFonts w:ascii="Times New Roman" w:hAnsi="Times New Roman" w:cs="Times New Roman"/>
          <w:color w:val="000000"/>
          <w:sz w:val="20"/>
          <w:szCs w:val="20"/>
          <w:u w:color="000000"/>
        </w:rPr>
        <w:t> Paris, Le Seuil, 2021.</w:t>
      </w:r>
    </w:p>
    <w:p w14:paraId="245AD504"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Laqua, Daniel, « Activism in the ‘Students’ League of Nations’ : International Student Politics and the Confédération internationale des Étudiants, 1919-1939 », </w:t>
      </w:r>
      <w:r w:rsidRPr="00B2465F">
        <w:rPr>
          <w:rFonts w:ascii="Times New Roman" w:hAnsi="Times New Roman" w:cs="Times New Roman"/>
          <w:i/>
          <w:iCs/>
          <w:color w:val="000000"/>
          <w:sz w:val="20"/>
          <w:szCs w:val="20"/>
          <w:u w:color="000000"/>
        </w:rPr>
        <w:t>The English Historical Review</w:t>
      </w:r>
      <w:r w:rsidRPr="00B2465F">
        <w:rPr>
          <w:rFonts w:ascii="Times New Roman" w:hAnsi="Times New Roman" w:cs="Times New Roman"/>
          <w:color w:val="000000"/>
          <w:sz w:val="20"/>
          <w:szCs w:val="20"/>
          <w:u w:color="000000"/>
        </w:rPr>
        <w:t>, 132:556, 2017, p. 605-637.</w:t>
      </w:r>
    </w:p>
    <w:p w14:paraId="4BAAD351"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Lebovic, Sam, « From War Junk to Educational Exchange : The World War II Origins of the Fulbright Program and the Foundations of American Cultural Globalism », </w:t>
      </w:r>
      <w:r w:rsidRPr="00B2465F">
        <w:rPr>
          <w:rFonts w:ascii="Times New Roman" w:hAnsi="Times New Roman" w:cs="Times New Roman"/>
          <w:i/>
          <w:iCs/>
          <w:color w:val="000000"/>
          <w:sz w:val="20"/>
          <w:szCs w:val="20"/>
          <w:u w:color="000000"/>
        </w:rPr>
        <w:t>Diplomatic History</w:t>
      </w:r>
      <w:r w:rsidRPr="00B2465F">
        <w:rPr>
          <w:rFonts w:ascii="Times New Roman" w:hAnsi="Times New Roman" w:cs="Times New Roman"/>
          <w:color w:val="000000"/>
          <w:sz w:val="20"/>
          <w:szCs w:val="20"/>
          <w:u w:color="000000"/>
        </w:rPr>
        <w:t>, 37:2, 2013, p. 280-312.</w:t>
      </w:r>
    </w:p>
    <w:p w14:paraId="7379B499"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Legrandjacques, Sara, « Voies étudiantes. Pour une histoire globale des mobilités étudiantes en Asie (Inde britannique-Indochine française, années 1850-1940) », thèse de doctorat, Université Paris 1 Panthéon-Sorbonne, 2021.</w:t>
      </w:r>
    </w:p>
    <w:p w14:paraId="1F123A2F"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Löhr, Isabella. </w:t>
      </w:r>
      <w:r w:rsidRPr="00B2465F">
        <w:rPr>
          <w:rFonts w:ascii="Times New Roman" w:hAnsi="Times New Roman" w:cs="Times New Roman"/>
          <w:i/>
          <w:iCs/>
          <w:color w:val="000000"/>
          <w:sz w:val="20"/>
          <w:szCs w:val="20"/>
          <w:u w:color="000000"/>
        </w:rPr>
        <w:t>Globale Bildungsmobilität 1850-1930: Von der Bekehrung der Welt zur globalen studentischen Gemeinschaft</w:t>
      </w:r>
      <w:r w:rsidRPr="00B2465F">
        <w:rPr>
          <w:rFonts w:ascii="Times New Roman" w:hAnsi="Times New Roman" w:cs="Times New Roman"/>
          <w:color w:val="000000"/>
          <w:sz w:val="20"/>
          <w:szCs w:val="20"/>
          <w:u w:color="000000"/>
        </w:rPr>
        <w:t>. Göttingen, Wallstein Verlag, 2021.</w:t>
      </w:r>
    </w:p>
    <w:p w14:paraId="194EE66F"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Matasci, Damiano et Ruppen Coutaz, Raphaëlle (éd.), </w:t>
      </w:r>
      <w:r w:rsidRPr="00B2465F">
        <w:rPr>
          <w:rFonts w:ascii="Times New Roman" w:hAnsi="Times New Roman" w:cs="Times New Roman"/>
          <w:i/>
          <w:iCs/>
          <w:color w:val="000000"/>
          <w:sz w:val="20"/>
          <w:szCs w:val="20"/>
          <w:u w:color="000000"/>
        </w:rPr>
        <w:t>Educational Internationalism in the Cold War: Plural Visions, Global Experiences</w:t>
      </w:r>
      <w:r w:rsidRPr="00B2465F">
        <w:rPr>
          <w:rFonts w:ascii="Times New Roman" w:hAnsi="Times New Roman" w:cs="Times New Roman"/>
          <w:color w:val="000000"/>
          <w:sz w:val="20"/>
          <w:szCs w:val="20"/>
          <w:u w:color="000000"/>
        </w:rPr>
        <w:t>, Londres, Routledge, 2024.</w:t>
      </w:r>
    </w:p>
    <w:p w14:paraId="02EADD23"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Manitakis, Nicolas, « Les migrations estudiantines en Europe, 1890-1930 », </w:t>
      </w:r>
      <w:r w:rsidRPr="00B2465F">
        <w:rPr>
          <w:rFonts w:ascii="Times New Roman" w:hAnsi="Times New Roman" w:cs="Times New Roman"/>
          <w:i/>
          <w:iCs/>
          <w:color w:val="000000"/>
          <w:sz w:val="20"/>
          <w:szCs w:val="20"/>
          <w:u w:color="000000"/>
        </w:rPr>
        <w:t>in Migrations et migrants dans une perspective historique. Permanences et innovations</w:t>
      </w:r>
      <w:r w:rsidRPr="00B2465F">
        <w:rPr>
          <w:rFonts w:ascii="Times New Roman" w:hAnsi="Times New Roman" w:cs="Times New Roman"/>
          <w:color w:val="000000"/>
          <w:sz w:val="20"/>
          <w:szCs w:val="20"/>
          <w:u w:color="000000"/>
        </w:rPr>
        <w:t>, Bruxelles, PIE Peter Lang, 2000, p. 243-272.</w:t>
      </w:r>
    </w:p>
    <w:p w14:paraId="07322CA9"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lastRenderedPageBreak/>
        <w:t xml:space="preserve">Messana, Marie Christine, « Pluraliser la mobilité étudiante : enjeux, conception et interprétation d’un dispositif hybride de formation linguistique et interculturelle dans une université française », </w:t>
      </w:r>
      <w:r w:rsidRPr="00B2465F">
        <w:rPr>
          <w:rFonts w:ascii="Times New Roman" w:hAnsi="Times New Roman" w:cs="Times New Roman"/>
          <w:i/>
          <w:iCs/>
          <w:color w:val="000000"/>
          <w:sz w:val="20"/>
          <w:szCs w:val="20"/>
          <w:u w:color="000000"/>
        </w:rPr>
        <w:t>Recherches en didactique des langues et des cultures</w:t>
      </w:r>
      <w:r w:rsidRPr="00B2465F">
        <w:rPr>
          <w:rFonts w:ascii="Times New Roman" w:hAnsi="Times New Roman" w:cs="Times New Roman"/>
          <w:color w:val="000000"/>
          <w:sz w:val="20"/>
          <w:szCs w:val="20"/>
          <w:u w:color="000000"/>
        </w:rPr>
        <w:t xml:space="preserve">, 22-1, 2024, </w:t>
      </w:r>
      <w:hyperlink r:id="rId7" w:history="1">
        <w:r w:rsidRPr="00B2465F">
          <w:rPr>
            <w:rFonts w:ascii="Times New Roman" w:hAnsi="Times New Roman" w:cs="Times New Roman"/>
            <w:color w:val="0000FF"/>
            <w:sz w:val="20"/>
            <w:szCs w:val="20"/>
            <w:u w:val="single" w:color="0000FF"/>
          </w:rPr>
          <w:t>https://doi.org/10.4000/11q9w</w:t>
        </w:r>
      </w:hyperlink>
      <w:r w:rsidRPr="00B2465F">
        <w:rPr>
          <w:rFonts w:ascii="Times New Roman" w:hAnsi="Times New Roman" w:cs="Times New Roman"/>
          <w:color w:val="000000"/>
          <w:sz w:val="20"/>
          <w:szCs w:val="20"/>
          <w:u w:color="000000"/>
        </w:rPr>
        <w:t>.</w:t>
      </w:r>
    </w:p>
    <w:p w14:paraId="2AE7F191"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Mitchel Rosamond, Tyne, Henry, </w:t>
      </w:r>
      <w:r w:rsidRPr="00B2465F">
        <w:rPr>
          <w:rFonts w:ascii="Times New Roman" w:hAnsi="Times New Roman" w:cs="Times New Roman"/>
          <w:i/>
          <w:iCs/>
          <w:color w:val="000000"/>
          <w:sz w:val="20"/>
          <w:szCs w:val="20"/>
          <w:u w:color="000000"/>
        </w:rPr>
        <w:t>Language Mobilty and Study Abroad in the Contemporary European Contexte</w:t>
      </w:r>
      <w:r w:rsidRPr="00B2465F">
        <w:rPr>
          <w:rFonts w:ascii="Times New Roman" w:hAnsi="Times New Roman" w:cs="Times New Roman"/>
          <w:color w:val="000000"/>
          <w:sz w:val="20"/>
          <w:szCs w:val="20"/>
          <w:u w:color="000000"/>
        </w:rPr>
        <w:t>, Londres, Routledge, 2023.</w:t>
      </w:r>
    </w:p>
    <w:p w14:paraId="1F2B0B8E"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Molinié, Muriel, Moore, Danièle (dir.), </w:t>
      </w:r>
      <w:r w:rsidRPr="00B2465F">
        <w:rPr>
          <w:rFonts w:ascii="Times New Roman" w:hAnsi="Times New Roman" w:cs="Times New Roman"/>
          <w:i/>
          <w:iCs/>
          <w:color w:val="000000"/>
          <w:sz w:val="20"/>
          <w:szCs w:val="20"/>
          <w:u w:color="000000"/>
        </w:rPr>
        <w:t>Mobilités contemporaines et médiations didactiques</w:t>
      </w:r>
      <w:r w:rsidRPr="00B2465F">
        <w:rPr>
          <w:rFonts w:ascii="Times New Roman" w:hAnsi="Times New Roman" w:cs="Times New Roman"/>
          <w:color w:val="000000"/>
          <w:sz w:val="20"/>
          <w:szCs w:val="20"/>
          <w:u w:color="000000"/>
        </w:rPr>
        <w:t>, CLE international, 2020.</w:t>
      </w:r>
    </w:p>
    <w:p w14:paraId="5167008B"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Moulinier, Pierre, </w:t>
      </w:r>
      <w:r w:rsidRPr="00B2465F">
        <w:rPr>
          <w:rFonts w:ascii="Times New Roman" w:hAnsi="Times New Roman" w:cs="Times New Roman"/>
          <w:i/>
          <w:iCs/>
          <w:color w:val="000000"/>
          <w:sz w:val="20"/>
          <w:szCs w:val="20"/>
          <w:u w:color="000000"/>
        </w:rPr>
        <w:t>Les étudiants étrangers à Paris au XIXe siècle. Migration et formation des élites</w:t>
      </w:r>
      <w:r w:rsidRPr="00B2465F">
        <w:rPr>
          <w:rFonts w:ascii="Times New Roman" w:hAnsi="Times New Roman" w:cs="Times New Roman"/>
          <w:color w:val="000000"/>
          <w:sz w:val="20"/>
          <w:szCs w:val="20"/>
          <w:u w:color="000000"/>
        </w:rPr>
        <w:t>, Rennes, Presses universitaires de Rennes, 2011.</w:t>
      </w:r>
    </w:p>
    <w:p w14:paraId="778CAE4B"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Mukerjee, Sumita, </w:t>
      </w:r>
      <w:r w:rsidRPr="00B2465F">
        <w:rPr>
          <w:rFonts w:ascii="Times New Roman" w:hAnsi="Times New Roman" w:cs="Times New Roman"/>
          <w:i/>
          <w:iCs/>
          <w:color w:val="000000"/>
          <w:sz w:val="20"/>
          <w:szCs w:val="20"/>
          <w:u w:color="000000"/>
        </w:rPr>
        <w:t>Nationalism, Education, and Migrant Identities : the England-Returned</w:t>
      </w:r>
      <w:r w:rsidRPr="00B2465F">
        <w:rPr>
          <w:rFonts w:ascii="Times New Roman" w:hAnsi="Times New Roman" w:cs="Times New Roman"/>
          <w:color w:val="000000"/>
          <w:sz w:val="20"/>
          <w:szCs w:val="20"/>
          <w:u w:color="000000"/>
        </w:rPr>
        <w:t>, Londres, Routledge, 2010.</w:t>
      </w:r>
    </w:p>
    <w:p w14:paraId="6B077B04"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Nguyễn Vũ, Thục Linh, « A World of Their Own : Vietnamese Students in Late Socialist Poland » </w:t>
      </w:r>
      <w:r w:rsidRPr="00B2465F">
        <w:rPr>
          <w:rFonts w:ascii="Times New Roman" w:hAnsi="Times New Roman" w:cs="Times New Roman"/>
          <w:i/>
          <w:iCs/>
          <w:color w:val="000000"/>
          <w:sz w:val="20"/>
          <w:szCs w:val="20"/>
          <w:u w:color="000000"/>
        </w:rPr>
        <w:t xml:space="preserve">in </w:t>
      </w:r>
      <w:r w:rsidRPr="00B2465F">
        <w:rPr>
          <w:rFonts w:ascii="Times New Roman" w:hAnsi="Times New Roman" w:cs="Times New Roman"/>
          <w:color w:val="000000"/>
          <w:sz w:val="20"/>
          <w:szCs w:val="20"/>
          <w:u w:color="000000"/>
        </w:rPr>
        <w:t xml:space="preserve">Marcus Colla, Paul Betts (dir.), </w:t>
      </w:r>
      <w:r w:rsidRPr="00B2465F">
        <w:rPr>
          <w:rFonts w:ascii="Times New Roman" w:hAnsi="Times New Roman" w:cs="Times New Roman"/>
          <w:i/>
          <w:iCs/>
          <w:color w:val="000000"/>
          <w:sz w:val="20"/>
          <w:szCs w:val="20"/>
          <w:u w:color="000000"/>
        </w:rPr>
        <w:t>Rethinking Socialist Space in the Twentieth Century</w:t>
      </w:r>
      <w:r w:rsidRPr="00B2465F">
        <w:rPr>
          <w:rFonts w:ascii="Times New Roman" w:hAnsi="Times New Roman" w:cs="Times New Roman"/>
          <w:color w:val="000000"/>
          <w:sz w:val="20"/>
          <w:szCs w:val="20"/>
          <w:u w:color="000000"/>
        </w:rPr>
        <w:t>, New York, Palgrave Macmillan, 2024, p. 185-215.</w:t>
      </w:r>
    </w:p>
    <w:p w14:paraId="19072764"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Plews, John L., Misfeldt, Kim (dir.), </w:t>
      </w:r>
      <w:r w:rsidRPr="00B2465F">
        <w:rPr>
          <w:rFonts w:ascii="Times New Roman" w:hAnsi="Times New Roman" w:cs="Times New Roman"/>
          <w:i/>
          <w:iCs/>
          <w:color w:val="000000"/>
          <w:sz w:val="20"/>
          <w:szCs w:val="20"/>
          <w:u w:color="000000"/>
        </w:rPr>
        <w:t>Second Language Study Abroad : Programming, Pedagogy, and Participant Engagement</w:t>
      </w:r>
      <w:r w:rsidRPr="00B2465F">
        <w:rPr>
          <w:rFonts w:ascii="Times New Roman" w:hAnsi="Times New Roman" w:cs="Times New Roman"/>
          <w:color w:val="000000"/>
          <w:sz w:val="20"/>
          <w:szCs w:val="20"/>
          <w:u w:color="000000"/>
        </w:rPr>
        <w:t>, New York, Springer, 2019.</w:t>
      </w:r>
    </w:p>
    <w:p w14:paraId="427EE033"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Pugach, Sara, </w:t>
      </w:r>
      <w:r w:rsidRPr="00B2465F">
        <w:rPr>
          <w:rFonts w:ascii="Times New Roman" w:hAnsi="Times New Roman" w:cs="Times New Roman"/>
          <w:i/>
          <w:iCs/>
          <w:color w:val="000000"/>
          <w:sz w:val="20"/>
          <w:szCs w:val="20"/>
          <w:u w:color="000000"/>
        </w:rPr>
        <w:t>African Students in East Germany, 1949-1975</w:t>
      </w:r>
      <w:r w:rsidRPr="00B2465F">
        <w:rPr>
          <w:rFonts w:ascii="Times New Roman" w:hAnsi="Times New Roman" w:cs="Times New Roman"/>
          <w:color w:val="000000"/>
          <w:sz w:val="20"/>
          <w:szCs w:val="20"/>
          <w:u w:color="000000"/>
        </w:rPr>
        <w:t>, Ann Arbor, University of Michigan Press, 2022.</w:t>
      </w:r>
    </w:p>
    <w:p w14:paraId="186BD933"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Ruet, Magali, « Mobilités étudiantes intra-européennes : des enjeux particuliers à prendre en compte dans l’enseignement des langues », communication présentée au colloque des jeunes chercheurs </w:t>
      </w:r>
      <w:r w:rsidRPr="00B2465F">
        <w:rPr>
          <w:rFonts w:ascii="Times New Roman" w:hAnsi="Times New Roman" w:cs="Times New Roman"/>
          <w:i/>
          <w:iCs/>
          <w:color w:val="000000"/>
          <w:sz w:val="20"/>
          <w:szCs w:val="20"/>
          <w:u w:color="000000"/>
        </w:rPr>
        <w:t>Mobilités, exils et migrations : des femmes/hommes et des langues</w:t>
      </w:r>
      <w:r w:rsidRPr="00B2465F">
        <w:rPr>
          <w:rFonts w:ascii="Times New Roman" w:hAnsi="Times New Roman" w:cs="Times New Roman"/>
          <w:color w:val="000000"/>
          <w:sz w:val="20"/>
          <w:szCs w:val="20"/>
          <w:u w:color="000000"/>
        </w:rPr>
        <w:t>, 2018.</w:t>
      </w:r>
    </w:p>
    <w:p w14:paraId="7C7836BE"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Ruppen Coutaz, Raphaëlle, Paoli, Simone (dir.), </w:t>
      </w:r>
      <w:r w:rsidRPr="00B2465F">
        <w:rPr>
          <w:rFonts w:ascii="Times New Roman" w:hAnsi="Times New Roman" w:cs="Times New Roman"/>
          <w:i/>
          <w:iCs/>
          <w:color w:val="000000"/>
          <w:sz w:val="20"/>
          <w:szCs w:val="20"/>
          <w:u w:color="000000"/>
        </w:rPr>
        <w:t>Building Europe Through Education, Building Education Through Europe: Actors, Spaces and Pedagogies in a Historical Perspective</w:t>
      </w:r>
      <w:r w:rsidRPr="00B2465F">
        <w:rPr>
          <w:rFonts w:ascii="Times New Roman" w:hAnsi="Times New Roman" w:cs="Times New Roman"/>
          <w:color w:val="000000"/>
          <w:sz w:val="20"/>
          <w:szCs w:val="20"/>
          <w:u w:color="000000"/>
        </w:rPr>
        <w:t>, Londres, Routledge, 2024.</w:t>
      </w:r>
    </w:p>
    <w:p w14:paraId="2AD90039"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Rupprecht, Tobias, </w:t>
      </w:r>
      <w:r w:rsidRPr="00B2465F">
        <w:rPr>
          <w:rFonts w:ascii="Times New Roman" w:hAnsi="Times New Roman" w:cs="Times New Roman"/>
          <w:i/>
          <w:iCs/>
          <w:color w:val="000000"/>
          <w:sz w:val="20"/>
          <w:szCs w:val="20"/>
          <w:u w:color="000000"/>
        </w:rPr>
        <w:t>Soviet Internationalism after Stalin : Interaction and Exchange between the USSR and Latin American during the Cold War</w:t>
      </w:r>
      <w:r w:rsidRPr="00B2465F">
        <w:rPr>
          <w:rFonts w:ascii="Times New Roman" w:hAnsi="Times New Roman" w:cs="Times New Roman"/>
          <w:color w:val="000000"/>
          <w:sz w:val="20"/>
          <w:szCs w:val="20"/>
          <w:u w:color="000000"/>
        </w:rPr>
        <w:t>, Cambridge, Cambridge University Press, 2015.</w:t>
      </w:r>
    </w:p>
    <w:p w14:paraId="61EA6572"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Suzarte, Manuel, « From Burning a Flag to Carrying One: United States Cultural Diplomacy and Chilean University Students during the Cold War (1956-1973) », thèse de doctorat, Université de Paris, 2023.</w:t>
      </w:r>
    </w:p>
    <w:p w14:paraId="78429EFA"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Tikhonov-Sigrist, Natalia, « Enseignement supérieur et mixité : la Suisse, une avant-garde ambiguë » </w:t>
      </w:r>
      <w:r w:rsidRPr="00B2465F">
        <w:rPr>
          <w:rFonts w:ascii="Times New Roman" w:hAnsi="Times New Roman" w:cs="Times New Roman"/>
          <w:i/>
          <w:iCs/>
          <w:color w:val="000000"/>
          <w:sz w:val="20"/>
          <w:szCs w:val="20"/>
          <w:u w:color="000000"/>
        </w:rPr>
        <w:t xml:space="preserve">in </w:t>
      </w:r>
      <w:r w:rsidRPr="00B2465F">
        <w:rPr>
          <w:rFonts w:ascii="Times New Roman" w:hAnsi="Times New Roman" w:cs="Times New Roman"/>
          <w:color w:val="000000"/>
          <w:sz w:val="20"/>
          <w:szCs w:val="20"/>
          <w:u w:color="000000"/>
        </w:rPr>
        <w:t xml:space="preserve">Rebecca Rogers (dir.), </w:t>
      </w:r>
      <w:r w:rsidRPr="00B2465F">
        <w:rPr>
          <w:rFonts w:ascii="Times New Roman" w:hAnsi="Times New Roman" w:cs="Times New Roman"/>
          <w:i/>
          <w:iCs/>
          <w:color w:val="000000"/>
          <w:sz w:val="20"/>
          <w:szCs w:val="20"/>
          <w:u w:color="000000"/>
        </w:rPr>
        <w:t>La mixité dans l’éducation. Enjeux passés et présents</w:t>
      </w:r>
      <w:r w:rsidRPr="00B2465F">
        <w:rPr>
          <w:rFonts w:ascii="Times New Roman" w:hAnsi="Times New Roman" w:cs="Times New Roman"/>
          <w:color w:val="000000"/>
          <w:sz w:val="20"/>
          <w:szCs w:val="20"/>
          <w:u w:color="000000"/>
        </w:rPr>
        <w:t>, Lyon, ENS éditions, 2014, p. 35-52.</w:t>
      </w:r>
    </w:p>
    <w:p w14:paraId="2ED9D17C"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Tournès, Ludovic, and Giles Scott-Smith, eds. </w:t>
      </w:r>
      <w:r w:rsidRPr="00B2465F">
        <w:rPr>
          <w:rFonts w:ascii="Times New Roman" w:hAnsi="Times New Roman" w:cs="Times New Roman"/>
          <w:i/>
          <w:iCs/>
          <w:color w:val="000000"/>
          <w:sz w:val="20"/>
          <w:szCs w:val="20"/>
          <w:u w:color="000000"/>
        </w:rPr>
        <w:t>Global Exchanges: Scholarships and Transnational Circulations in the Modern World</w:t>
      </w:r>
      <w:r w:rsidRPr="00B2465F">
        <w:rPr>
          <w:rFonts w:ascii="Times New Roman" w:hAnsi="Times New Roman" w:cs="Times New Roman"/>
          <w:color w:val="000000"/>
          <w:sz w:val="20"/>
          <w:szCs w:val="20"/>
          <w:u w:color="000000"/>
        </w:rPr>
        <w:t>. New York: Berghahn Books, 2018.</w:t>
      </w:r>
    </w:p>
    <w:p w14:paraId="754654D7"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Tronchet, Guillaume, « L’ouverture internationale des universités en France (1860-1914) » </w:t>
      </w:r>
      <w:r w:rsidRPr="00B2465F">
        <w:rPr>
          <w:rFonts w:ascii="Times New Roman" w:hAnsi="Times New Roman" w:cs="Times New Roman"/>
          <w:i/>
          <w:iCs/>
          <w:color w:val="000000"/>
          <w:sz w:val="20"/>
          <w:szCs w:val="20"/>
          <w:u w:color="000000"/>
        </w:rPr>
        <w:t xml:space="preserve">in </w:t>
      </w:r>
      <w:r w:rsidRPr="00B2465F">
        <w:rPr>
          <w:rFonts w:ascii="Times New Roman" w:hAnsi="Times New Roman" w:cs="Times New Roman"/>
          <w:color w:val="000000"/>
          <w:sz w:val="20"/>
          <w:szCs w:val="20"/>
          <w:u w:color="000000"/>
        </w:rPr>
        <w:t xml:space="preserve">Christophe Charle, Laurent Jeanpierre (dir.), </w:t>
      </w:r>
      <w:r w:rsidRPr="00B2465F">
        <w:rPr>
          <w:rFonts w:ascii="Times New Roman" w:hAnsi="Times New Roman" w:cs="Times New Roman"/>
          <w:i/>
          <w:iCs/>
          <w:color w:val="000000"/>
          <w:sz w:val="20"/>
          <w:szCs w:val="20"/>
          <w:u w:color="000000"/>
        </w:rPr>
        <w:t>La vie intellectuelle en France</w:t>
      </w:r>
      <w:r w:rsidRPr="00B2465F">
        <w:rPr>
          <w:rFonts w:ascii="Times New Roman" w:hAnsi="Times New Roman" w:cs="Times New Roman"/>
          <w:color w:val="000000"/>
          <w:sz w:val="20"/>
          <w:szCs w:val="20"/>
          <w:u w:color="000000"/>
        </w:rPr>
        <w:t>, Paris, Seuil, 2016, p. 614-617.</w:t>
      </w:r>
    </w:p>
    <w:p w14:paraId="2631B14C" w14:textId="77777777" w:rsidR="00B2465F" w:rsidRPr="00B2465F" w:rsidRDefault="00B2465F" w:rsidP="00B2465F">
      <w:pPr>
        <w:autoSpaceDE w:val="0"/>
        <w:autoSpaceDN w:val="0"/>
        <w:adjustRightInd w:val="0"/>
        <w:jc w:val="both"/>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xml:space="preserve">Walton, Whitney, </w:t>
      </w:r>
      <w:r w:rsidRPr="00B2465F">
        <w:rPr>
          <w:rFonts w:ascii="Times New Roman" w:hAnsi="Times New Roman" w:cs="Times New Roman"/>
          <w:i/>
          <w:iCs/>
          <w:color w:val="000000"/>
          <w:sz w:val="20"/>
          <w:szCs w:val="20"/>
          <w:u w:color="000000"/>
        </w:rPr>
        <w:t>Internationalism, National Identities, and Study Abroad : France and the United States, 1890-1970</w:t>
      </w:r>
      <w:r w:rsidRPr="00B2465F">
        <w:rPr>
          <w:rFonts w:ascii="Times New Roman" w:hAnsi="Times New Roman" w:cs="Times New Roman"/>
          <w:color w:val="000000"/>
          <w:sz w:val="20"/>
          <w:szCs w:val="20"/>
          <w:u w:color="000000"/>
        </w:rPr>
        <w:t>, Stanford, Stanford University Press, 2010.</w:t>
      </w:r>
    </w:p>
    <w:p w14:paraId="5B6B6761" w14:textId="77777777" w:rsidR="00B2465F" w:rsidRPr="00B2465F" w:rsidRDefault="00B2465F" w:rsidP="00B2465F">
      <w:pPr>
        <w:autoSpaceDE w:val="0"/>
        <w:autoSpaceDN w:val="0"/>
        <w:adjustRightInd w:val="0"/>
        <w:rPr>
          <w:rFonts w:ascii="Times New Roman" w:hAnsi="Times New Roman" w:cs="Times New Roman"/>
          <w:color w:val="000000"/>
          <w:sz w:val="20"/>
          <w:szCs w:val="20"/>
          <w:u w:color="000000"/>
        </w:rPr>
      </w:pPr>
      <w:r w:rsidRPr="00B2465F">
        <w:rPr>
          <w:rFonts w:ascii="Times New Roman" w:hAnsi="Times New Roman" w:cs="Times New Roman"/>
          <w:color w:val="000000"/>
          <w:sz w:val="20"/>
          <w:szCs w:val="20"/>
          <w:u w:color="000000"/>
        </w:rPr>
        <w:t> </w:t>
      </w:r>
    </w:p>
    <w:p w14:paraId="45C13D7B" w14:textId="77777777" w:rsidR="00155516" w:rsidRPr="00B2465F" w:rsidRDefault="00155516" w:rsidP="00E72E4D">
      <w:pPr>
        <w:jc w:val="both"/>
        <w:rPr>
          <w:rFonts w:ascii="Times New Roman" w:hAnsi="Times New Roman" w:cs="Times New Roman"/>
          <w:b/>
          <w:bCs/>
          <w:sz w:val="20"/>
          <w:szCs w:val="20"/>
        </w:rPr>
      </w:pPr>
    </w:p>
    <w:sectPr w:rsidR="00155516" w:rsidRPr="00B2465F" w:rsidSect="0064046E">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F9EE0" w14:textId="77777777" w:rsidR="00927600" w:rsidRDefault="00927600" w:rsidP="00FA4484">
      <w:pPr>
        <w:spacing w:after="0" w:line="240" w:lineRule="auto"/>
      </w:pPr>
      <w:r>
        <w:separator/>
      </w:r>
    </w:p>
  </w:endnote>
  <w:endnote w:type="continuationSeparator" w:id="0">
    <w:p w14:paraId="127504EF" w14:textId="77777777" w:rsidR="00927600" w:rsidRDefault="00927600" w:rsidP="00FA4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CDE4D" w14:textId="77777777" w:rsidR="00927600" w:rsidRDefault="00927600" w:rsidP="00FA4484">
      <w:pPr>
        <w:spacing w:after="0" w:line="240" w:lineRule="auto"/>
      </w:pPr>
      <w:r>
        <w:separator/>
      </w:r>
    </w:p>
  </w:footnote>
  <w:footnote w:type="continuationSeparator" w:id="0">
    <w:p w14:paraId="4D56CB07" w14:textId="77777777" w:rsidR="00927600" w:rsidRDefault="00927600" w:rsidP="00FA44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516"/>
    <w:rsid w:val="000D53B8"/>
    <w:rsid w:val="00153785"/>
    <w:rsid w:val="00155516"/>
    <w:rsid w:val="001807A1"/>
    <w:rsid w:val="00186F14"/>
    <w:rsid w:val="00197B1A"/>
    <w:rsid w:val="001E3C2A"/>
    <w:rsid w:val="001F718E"/>
    <w:rsid w:val="00217EE2"/>
    <w:rsid w:val="002F0AAB"/>
    <w:rsid w:val="003405DE"/>
    <w:rsid w:val="003B43D1"/>
    <w:rsid w:val="003B6539"/>
    <w:rsid w:val="003C26F6"/>
    <w:rsid w:val="003D28B2"/>
    <w:rsid w:val="00426D77"/>
    <w:rsid w:val="004429C6"/>
    <w:rsid w:val="004C3C3F"/>
    <w:rsid w:val="004F58C8"/>
    <w:rsid w:val="00543732"/>
    <w:rsid w:val="005B6E82"/>
    <w:rsid w:val="00635397"/>
    <w:rsid w:val="0064046E"/>
    <w:rsid w:val="006F337D"/>
    <w:rsid w:val="00712D45"/>
    <w:rsid w:val="00724A32"/>
    <w:rsid w:val="007338DD"/>
    <w:rsid w:val="00830737"/>
    <w:rsid w:val="0087495C"/>
    <w:rsid w:val="00883EC2"/>
    <w:rsid w:val="008846A3"/>
    <w:rsid w:val="008E1F64"/>
    <w:rsid w:val="0092431A"/>
    <w:rsid w:val="00927600"/>
    <w:rsid w:val="009B4F5C"/>
    <w:rsid w:val="009C1CAD"/>
    <w:rsid w:val="00B14D41"/>
    <w:rsid w:val="00B2465F"/>
    <w:rsid w:val="00B47064"/>
    <w:rsid w:val="00B5115F"/>
    <w:rsid w:val="00B5179E"/>
    <w:rsid w:val="00BA3C46"/>
    <w:rsid w:val="00BE0C5F"/>
    <w:rsid w:val="00C13C86"/>
    <w:rsid w:val="00C241A7"/>
    <w:rsid w:val="00D874F7"/>
    <w:rsid w:val="00DC4C3C"/>
    <w:rsid w:val="00DD670E"/>
    <w:rsid w:val="00E40524"/>
    <w:rsid w:val="00E53F04"/>
    <w:rsid w:val="00E72E4D"/>
    <w:rsid w:val="00E84861"/>
    <w:rsid w:val="00EC6DD4"/>
    <w:rsid w:val="00EE5BEE"/>
    <w:rsid w:val="00F25E66"/>
    <w:rsid w:val="00F550D6"/>
    <w:rsid w:val="00F86D37"/>
    <w:rsid w:val="00FA16ED"/>
    <w:rsid w:val="00FA4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350532"/>
  <w15:chartTrackingRefBased/>
  <w15:docId w15:val="{072CE76B-B074-5D42-966D-B9D5577AC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555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555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5551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5551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5551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5551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5551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5551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5551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5551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5551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5551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5551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5551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5551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5551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5551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55516"/>
    <w:rPr>
      <w:rFonts w:eastAsiaTheme="majorEastAsia" w:cstheme="majorBidi"/>
      <w:color w:val="272727" w:themeColor="text1" w:themeTint="D8"/>
    </w:rPr>
  </w:style>
  <w:style w:type="paragraph" w:styleId="Titre">
    <w:name w:val="Title"/>
    <w:basedOn w:val="Normal"/>
    <w:next w:val="Normal"/>
    <w:link w:val="TitreCar"/>
    <w:uiPriority w:val="10"/>
    <w:qFormat/>
    <w:rsid w:val="001555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5551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5551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5551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55516"/>
    <w:pPr>
      <w:spacing w:before="160"/>
      <w:jc w:val="center"/>
    </w:pPr>
    <w:rPr>
      <w:i/>
      <w:iCs/>
      <w:color w:val="404040" w:themeColor="text1" w:themeTint="BF"/>
    </w:rPr>
  </w:style>
  <w:style w:type="character" w:customStyle="1" w:styleId="CitationCar">
    <w:name w:val="Citation Car"/>
    <w:basedOn w:val="Policepardfaut"/>
    <w:link w:val="Citation"/>
    <w:uiPriority w:val="29"/>
    <w:rsid w:val="00155516"/>
    <w:rPr>
      <w:i/>
      <w:iCs/>
      <w:color w:val="404040" w:themeColor="text1" w:themeTint="BF"/>
    </w:rPr>
  </w:style>
  <w:style w:type="paragraph" w:styleId="Paragraphedeliste">
    <w:name w:val="List Paragraph"/>
    <w:basedOn w:val="Normal"/>
    <w:uiPriority w:val="34"/>
    <w:qFormat/>
    <w:rsid w:val="00155516"/>
    <w:pPr>
      <w:ind w:left="720"/>
      <w:contextualSpacing/>
    </w:pPr>
  </w:style>
  <w:style w:type="character" w:styleId="Accentuationintense">
    <w:name w:val="Intense Emphasis"/>
    <w:basedOn w:val="Policepardfaut"/>
    <w:uiPriority w:val="21"/>
    <w:qFormat/>
    <w:rsid w:val="00155516"/>
    <w:rPr>
      <w:i/>
      <w:iCs/>
      <w:color w:val="0F4761" w:themeColor="accent1" w:themeShade="BF"/>
    </w:rPr>
  </w:style>
  <w:style w:type="paragraph" w:styleId="Citationintense">
    <w:name w:val="Intense Quote"/>
    <w:basedOn w:val="Normal"/>
    <w:next w:val="Normal"/>
    <w:link w:val="CitationintenseCar"/>
    <w:uiPriority w:val="30"/>
    <w:qFormat/>
    <w:rsid w:val="001555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55516"/>
    <w:rPr>
      <w:i/>
      <w:iCs/>
      <w:color w:val="0F4761" w:themeColor="accent1" w:themeShade="BF"/>
    </w:rPr>
  </w:style>
  <w:style w:type="character" w:styleId="Rfrenceintense">
    <w:name w:val="Intense Reference"/>
    <w:basedOn w:val="Policepardfaut"/>
    <w:uiPriority w:val="32"/>
    <w:qFormat/>
    <w:rsid w:val="00155516"/>
    <w:rPr>
      <w:b/>
      <w:bCs/>
      <w:smallCaps/>
      <w:color w:val="0F4761" w:themeColor="accent1" w:themeShade="BF"/>
      <w:spacing w:val="5"/>
    </w:rPr>
  </w:style>
  <w:style w:type="character" w:styleId="Lienhypertexte">
    <w:name w:val="Hyperlink"/>
    <w:basedOn w:val="Policepardfaut"/>
    <w:uiPriority w:val="99"/>
    <w:unhideWhenUsed/>
    <w:rsid w:val="0087495C"/>
    <w:rPr>
      <w:color w:val="467886" w:themeColor="hyperlink"/>
      <w:u w:val="single"/>
    </w:rPr>
  </w:style>
  <w:style w:type="character" w:styleId="Mentionnonrsolue">
    <w:name w:val="Unresolved Mention"/>
    <w:basedOn w:val="Policepardfaut"/>
    <w:uiPriority w:val="99"/>
    <w:semiHidden/>
    <w:unhideWhenUsed/>
    <w:rsid w:val="0087495C"/>
    <w:rPr>
      <w:color w:val="605E5C"/>
      <w:shd w:val="clear" w:color="auto" w:fill="E1DFDD"/>
    </w:rPr>
  </w:style>
  <w:style w:type="paragraph" w:styleId="En-tte">
    <w:name w:val="header"/>
    <w:basedOn w:val="Normal"/>
    <w:link w:val="En-tteCar"/>
    <w:uiPriority w:val="99"/>
    <w:unhideWhenUsed/>
    <w:rsid w:val="00FA4484"/>
    <w:pPr>
      <w:tabs>
        <w:tab w:val="center" w:pos="4680"/>
        <w:tab w:val="right" w:pos="9360"/>
      </w:tabs>
      <w:spacing w:after="0" w:line="240" w:lineRule="auto"/>
    </w:pPr>
  </w:style>
  <w:style w:type="character" w:customStyle="1" w:styleId="En-tteCar">
    <w:name w:val="En-tête Car"/>
    <w:basedOn w:val="Policepardfaut"/>
    <w:link w:val="En-tte"/>
    <w:uiPriority w:val="99"/>
    <w:rsid w:val="00FA4484"/>
  </w:style>
  <w:style w:type="paragraph" w:styleId="Pieddepage">
    <w:name w:val="footer"/>
    <w:basedOn w:val="Normal"/>
    <w:link w:val="PieddepageCar"/>
    <w:uiPriority w:val="99"/>
    <w:unhideWhenUsed/>
    <w:rsid w:val="00FA4484"/>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FA44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4000/11q9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angstudmob.2026@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2238</Words>
  <Characters>12315</Characters>
  <Application>Microsoft Office Word</Application>
  <DocSecurity>0</DocSecurity>
  <Lines>102</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Walkama, Annalise (annalisew@uidaho.edu)</dc:creator>
  <cp:keywords/>
  <dc:description/>
  <cp:lastModifiedBy>jules siran</cp:lastModifiedBy>
  <cp:revision>17</cp:revision>
  <dcterms:created xsi:type="dcterms:W3CDTF">2025-11-28T09:23:00Z</dcterms:created>
  <dcterms:modified xsi:type="dcterms:W3CDTF">2025-12-02T10:10:00Z</dcterms:modified>
</cp:coreProperties>
</file>